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265D2">
      <w:pPr>
        <w:keepNext w:val="0"/>
        <w:keepLines w:val="0"/>
        <w:pageBreakBefore w:val="0"/>
        <w:widowControl w:val="0"/>
        <w:tabs>
          <w:tab w:val="left" w:pos="2355"/>
          <w:tab w:val="center" w:pos="4380"/>
        </w:tabs>
        <w:kinsoku/>
        <w:wordWrap/>
        <w:overflowPunct w:val="0"/>
        <w:topLinePunct w:val="0"/>
        <w:autoSpaceDE/>
        <w:autoSpaceDN/>
        <w:bidi w:val="0"/>
        <w:adjustRightInd/>
        <w:snapToGrid/>
        <w:spacing w:line="600" w:lineRule="exact"/>
        <w:ind w:left="0" w:leftChars="0" w:right="0" w:rightChars="0" w:firstLine="0" w:firstLineChars="0"/>
        <w:jc w:val="left"/>
        <w:textAlignment w:val="baseline"/>
        <w:outlineLvl w:val="9"/>
        <w:rPr>
          <w:rFonts w:hint="default" w:ascii="Times New Roman" w:hAnsi="Times New Roman" w:eastAsia="楷体_GB2312" w:cs="Times New Roman"/>
          <w:bCs/>
          <w:sz w:val="32"/>
          <w:szCs w:val="22"/>
        </w:rPr>
      </w:pPr>
      <w:bookmarkStart w:id="84" w:name="_GoBack"/>
      <w:bookmarkEnd w:id="84"/>
    </w:p>
    <w:p w14:paraId="44C30FEE">
      <w:pPr>
        <w:keepNext w:val="0"/>
        <w:keepLines w:val="0"/>
        <w:pageBreakBefore w:val="0"/>
        <w:widowControl w:val="0"/>
        <w:tabs>
          <w:tab w:val="left" w:pos="2355"/>
          <w:tab w:val="center" w:pos="4380"/>
        </w:tabs>
        <w:kinsoku/>
        <w:wordWrap/>
        <w:overflowPunct w:val="0"/>
        <w:topLinePunct w:val="0"/>
        <w:autoSpaceDE/>
        <w:autoSpaceDN/>
        <w:bidi w:val="0"/>
        <w:adjustRightInd/>
        <w:snapToGrid/>
        <w:spacing w:line="600" w:lineRule="exact"/>
        <w:ind w:left="0" w:leftChars="0" w:right="0" w:rightChars="0" w:firstLine="0" w:firstLineChars="0"/>
        <w:jc w:val="left"/>
        <w:textAlignment w:val="baseline"/>
        <w:outlineLvl w:val="9"/>
        <w:rPr>
          <w:rFonts w:hint="default" w:ascii="Times New Roman" w:hAnsi="Times New Roman" w:eastAsia="楷体_GB2312" w:cs="Times New Roman"/>
          <w:bCs/>
          <w:sz w:val="32"/>
          <w:szCs w:val="22"/>
        </w:rPr>
      </w:pPr>
      <w:r>
        <w:rPr>
          <w:rFonts w:hint="default" w:ascii="Times New Roman" w:hAnsi="Times New Roman" w:eastAsia="楷体_GB2312" w:cs="Times New Roman"/>
          <w:bCs/>
          <w:sz w:val="32"/>
          <w:szCs w:val="22"/>
        </w:rPr>
        <w:drawing>
          <wp:anchor distT="0" distB="0" distL="114300" distR="114300" simplePos="0" relativeHeight="251659264" behindDoc="1" locked="0" layoutInCell="1" allowOverlap="1">
            <wp:simplePos x="0" y="0"/>
            <wp:positionH relativeFrom="column">
              <wp:posOffset>-415290</wp:posOffset>
            </wp:positionH>
            <wp:positionV relativeFrom="paragraph">
              <wp:posOffset>47625</wp:posOffset>
            </wp:positionV>
            <wp:extent cx="6565900" cy="2774950"/>
            <wp:effectExtent l="0" t="0" r="2540" b="13970"/>
            <wp:wrapNone/>
            <wp:docPr id="2" name="图片 3" descr="薛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薛政发"/>
                    <pic:cNvPicPr>
                      <a:picLocks noChangeAspect="1"/>
                    </pic:cNvPicPr>
                  </pic:nvPicPr>
                  <pic:blipFill>
                    <a:blip r:embed="rId9"/>
                    <a:stretch>
                      <a:fillRect/>
                    </a:stretch>
                  </pic:blipFill>
                  <pic:spPr>
                    <a:xfrm>
                      <a:off x="0" y="0"/>
                      <a:ext cx="6565900" cy="2774950"/>
                    </a:xfrm>
                    <a:prstGeom prst="rect">
                      <a:avLst/>
                    </a:prstGeom>
                    <a:noFill/>
                    <a:ln>
                      <a:noFill/>
                    </a:ln>
                  </pic:spPr>
                </pic:pic>
              </a:graphicData>
            </a:graphic>
          </wp:anchor>
        </w:drawing>
      </w:r>
      <w:r>
        <w:rPr>
          <w:rFonts w:hint="default" w:ascii="Times New Roman" w:hAnsi="Times New Roman" w:eastAsia="楷体_GB2312" w:cs="Times New Roman"/>
          <w:bCs/>
          <w:sz w:val="32"/>
          <w:szCs w:val="22"/>
        </w:rPr>
        <w:tab/>
      </w:r>
    </w:p>
    <w:p w14:paraId="1115E982">
      <w:pPr>
        <w:keepNext w:val="0"/>
        <w:keepLines w:val="0"/>
        <w:pageBreakBefore w:val="0"/>
        <w:widowControl w:val="0"/>
        <w:tabs>
          <w:tab w:val="left" w:pos="2355"/>
          <w:tab w:val="center" w:pos="4380"/>
        </w:tabs>
        <w:kinsoku/>
        <w:wordWrap/>
        <w:overflowPunct w:val="0"/>
        <w:topLinePunct w:val="0"/>
        <w:autoSpaceDE/>
        <w:autoSpaceDN/>
        <w:bidi w:val="0"/>
        <w:adjustRightInd/>
        <w:snapToGrid/>
        <w:spacing w:line="600" w:lineRule="exact"/>
        <w:ind w:left="0" w:leftChars="0" w:right="0" w:rightChars="0" w:firstLine="0" w:firstLineChars="0"/>
        <w:jc w:val="left"/>
        <w:textAlignment w:val="baseline"/>
        <w:outlineLvl w:val="9"/>
        <w:rPr>
          <w:rFonts w:hint="default" w:ascii="Times New Roman" w:hAnsi="Times New Roman" w:eastAsia="楷体_GB2312" w:cs="Times New Roman"/>
          <w:bCs/>
          <w:sz w:val="32"/>
          <w:szCs w:val="22"/>
        </w:rPr>
      </w:pPr>
    </w:p>
    <w:p w14:paraId="39B6E8C0">
      <w:pPr>
        <w:keepNext w:val="0"/>
        <w:keepLines w:val="0"/>
        <w:pageBreakBefore w:val="0"/>
        <w:widowControl w:val="0"/>
        <w:tabs>
          <w:tab w:val="left" w:pos="2355"/>
          <w:tab w:val="center" w:pos="4380"/>
        </w:tabs>
        <w:kinsoku/>
        <w:wordWrap/>
        <w:overflowPunct w:val="0"/>
        <w:topLinePunct w:val="0"/>
        <w:autoSpaceDE/>
        <w:autoSpaceDN/>
        <w:bidi w:val="0"/>
        <w:adjustRightInd/>
        <w:snapToGrid/>
        <w:spacing w:line="600" w:lineRule="exact"/>
        <w:ind w:left="0" w:leftChars="0" w:right="0" w:rightChars="0" w:firstLine="0" w:firstLineChars="0"/>
        <w:jc w:val="left"/>
        <w:textAlignment w:val="baseline"/>
        <w:outlineLvl w:val="9"/>
        <w:rPr>
          <w:rFonts w:hint="default" w:ascii="Times New Roman" w:hAnsi="Times New Roman" w:eastAsia="楷体_GB2312" w:cs="Times New Roman"/>
          <w:bCs/>
          <w:sz w:val="32"/>
          <w:szCs w:val="22"/>
        </w:rPr>
      </w:pPr>
    </w:p>
    <w:p w14:paraId="766298F2">
      <w:pPr>
        <w:keepNext w:val="0"/>
        <w:keepLines w:val="0"/>
        <w:pageBreakBefore w:val="0"/>
        <w:widowControl w:val="0"/>
        <w:tabs>
          <w:tab w:val="left" w:pos="2355"/>
          <w:tab w:val="center" w:pos="4380"/>
        </w:tabs>
        <w:kinsoku/>
        <w:wordWrap/>
        <w:overflowPunct w:val="0"/>
        <w:topLinePunct w:val="0"/>
        <w:autoSpaceDE/>
        <w:autoSpaceDN/>
        <w:bidi w:val="0"/>
        <w:adjustRightInd/>
        <w:snapToGrid/>
        <w:spacing w:line="600" w:lineRule="exact"/>
        <w:ind w:left="0" w:leftChars="0" w:right="0" w:rightChars="0" w:firstLine="0" w:firstLineChars="0"/>
        <w:jc w:val="left"/>
        <w:textAlignment w:val="baseline"/>
        <w:outlineLvl w:val="9"/>
        <w:rPr>
          <w:rFonts w:hint="default" w:ascii="Times New Roman" w:hAnsi="Times New Roman" w:eastAsia="楷体_GB2312" w:cs="Times New Roman"/>
          <w:bCs/>
          <w:sz w:val="32"/>
          <w:szCs w:val="22"/>
        </w:rPr>
      </w:pPr>
    </w:p>
    <w:p w14:paraId="738805A6">
      <w:pPr>
        <w:keepNext w:val="0"/>
        <w:keepLines w:val="0"/>
        <w:pageBreakBefore w:val="0"/>
        <w:widowControl w:val="0"/>
        <w:tabs>
          <w:tab w:val="left" w:pos="2355"/>
          <w:tab w:val="center" w:pos="4380"/>
        </w:tabs>
        <w:kinsoku/>
        <w:wordWrap/>
        <w:overflowPunct w:val="0"/>
        <w:topLinePunct w:val="0"/>
        <w:autoSpaceDE/>
        <w:autoSpaceDN/>
        <w:bidi w:val="0"/>
        <w:adjustRightInd/>
        <w:snapToGrid/>
        <w:spacing w:line="600" w:lineRule="exact"/>
        <w:ind w:left="0" w:leftChars="0" w:right="0" w:rightChars="0" w:firstLine="0" w:firstLineChars="0"/>
        <w:jc w:val="left"/>
        <w:textAlignment w:val="baseline"/>
        <w:outlineLvl w:val="9"/>
        <w:rPr>
          <w:rFonts w:hint="default" w:ascii="Times New Roman" w:hAnsi="Times New Roman" w:eastAsia="楷体_GB2312" w:cs="Times New Roman"/>
          <w:bCs/>
          <w:sz w:val="32"/>
          <w:szCs w:val="22"/>
        </w:rPr>
      </w:pPr>
    </w:p>
    <w:p w14:paraId="4C69F811">
      <w:pPr>
        <w:keepNext w:val="0"/>
        <w:keepLines w:val="0"/>
        <w:pageBreakBefore w:val="0"/>
        <w:widowControl w:val="0"/>
        <w:tabs>
          <w:tab w:val="left" w:pos="2355"/>
          <w:tab w:val="center" w:pos="4380"/>
        </w:tabs>
        <w:kinsoku/>
        <w:wordWrap/>
        <w:overflowPunct w:val="0"/>
        <w:topLinePunct w:val="0"/>
        <w:autoSpaceDE/>
        <w:autoSpaceDN/>
        <w:bidi w:val="0"/>
        <w:adjustRightInd/>
        <w:snapToGrid/>
        <w:spacing w:line="600" w:lineRule="exact"/>
        <w:ind w:firstLine="0" w:firstLineChars="0"/>
        <w:jc w:val="center"/>
        <w:textAlignment w:val="baseline"/>
        <w:rPr>
          <w:rFonts w:hint="default" w:ascii="Times New Roman" w:hAnsi="Times New Roman" w:eastAsia="仿宋_GB2312" w:cs="Times New Roman"/>
          <w:bCs/>
          <w:sz w:val="32"/>
          <w:szCs w:val="22"/>
        </w:rPr>
      </w:pPr>
      <w:r>
        <w:rPr>
          <w:rFonts w:hint="default" w:ascii="Times New Roman" w:hAnsi="Times New Roman" w:eastAsia="仿宋_GB2312" w:cs="Times New Roman"/>
          <w:bCs/>
          <w:sz w:val="32"/>
          <w:szCs w:val="22"/>
        </w:rPr>
        <w:t>薛政发</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22"/>
        </w:rPr>
        <w:t>20</w:t>
      </w:r>
      <w:r>
        <w:rPr>
          <w:rFonts w:hint="default" w:ascii="Times New Roman" w:hAnsi="Times New Roman" w:eastAsia="仿宋_GB2312" w:cs="Times New Roman"/>
          <w:bCs/>
          <w:sz w:val="32"/>
          <w:szCs w:val="22"/>
          <w:lang w:val="en-US" w:eastAsia="zh-CN"/>
        </w:rPr>
        <w:t>2</w:t>
      </w:r>
      <w:r>
        <w:rPr>
          <w:rFonts w:hint="default" w:ascii="Times New Roman" w:hAnsi="Times New Roman" w:cs="Times New Roman"/>
          <w:bCs/>
          <w:sz w:val="32"/>
          <w:szCs w:val="22"/>
          <w:lang w:val="en-US" w:eastAsia="zh-CN"/>
        </w:rPr>
        <w:t>6</w:t>
      </w:r>
      <w:r>
        <w:rPr>
          <w:rFonts w:hint="default" w:ascii="Times New Roman" w:hAnsi="Times New Roman" w:eastAsia="仿宋_GB2312" w:cs="Times New Roman"/>
          <w:bCs/>
          <w:sz w:val="32"/>
          <w:szCs w:val="32"/>
        </w:rPr>
        <w:t>〕</w:t>
      </w:r>
      <w:r>
        <w:rPr>
          <w:rFonts w:hint="default" w:ascii="Times New Roman" w:hAnsi="Times New Roman" w:cs="Times New Roman"/>
          <w:bCs/>
          <w:sz w:val="32"/>
          <w:szCs w:val="32"/>
          <w:lang w:val="en-US" w:eastAsia="zh-CN"/>
        </w:rPr>
        <w:t>2</w:t>
      </w:r>
      <w:r>
        <w:rPr>
          <w:rFonts w:hint="default" w:ascii="Times New Roman" w:hAnsi="Times New Roman" w:eastAsia="仿宋_GB2312" w:cs="Times New Roman"/>
          <w:bCs/>
          <w:sz w:val="32"/>
          <w:szCs w:val="22"/>
        </w:rPr>
        <w:t>号</w:t>
      </w:r>
    </w:p>
    <w:p w14:paraId="02B26B25">
      <w:pPr>
        <w:keepNext w:val="0"/>
        <w:keepLines w:val="0"/>
        <w:pageBreakBefore w:val="0"/>
        <w:widowControl w:val="0"/>
        <w:kinsoku/>
        <w:wordWrap/>
        <w:overflowPunct w:val="0"/>
        <w:topLinePunct w:val="0"/>
        <w:autoSpaceDE/>
        <w:autoSpaceDN/>
        <w:bidi w:val="0"/>
        <w:adjustRightInd/>
        <w:snapToGrid/>
        <w:spacing w:line="600" w:lineRule="exact"/>
        <w:ind w:firstLine="0" w:firstLineChars="0"/>
        <w:jc w:val="center"/>
        <w:textAlignment w:val="baseline"/>
        <w:rPr>
          <w:rFonts w:hint="default" w:ascii="Times New Roman" w:hAnsi="Times New Roman" w:eastAsia="华文中宋" w:cs="Times New Roman"/>
          <w:bCs/>
          <w:sz w:val="44"/>
          <w:szCs w:val="22"/>
        </w:rPr>
      </w:pPr>
    </w:p>
    <w:p w14:paraId="6E1A4EE5">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lang w:val="en-US" w:eastAsia="zh-CN"/>
        </w:rPr>
        <w:t>关于印发《</w:t>
      </w:r>
      <w:r>
        <w:rPr>
          <w:rFonts w:hint="default" w:ascii="Times New Roman" w:hAnsi="Times New Roman" w:eastAsia="方正小标宋简体" w:cs="Times New Roman"/>
          <w:color w:val="000000"/>
          <w:sz w:val="44"/>
          <w:szCs w:val="44"/>
        </w:rPr>
        <w:t>薛城区国民经济和社会发展</w:t>
      </w:r>
    </w:p>
    <w:p w14:paraId="05514F3C">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rPr>
        <w:t>第十五个五年规划纲要</w:t>
      </w:r>
      <w:r>
        <w:rPr>
          <w:rFonts w:hint="default" w:ascii="Times New Roman" w:hAnsi="Times New Roman" w:eastAsia="方正小标宋简体" w:cs="Times New Roman"/>
          <w:color w:val="000000"/>
          <w:sz w:val="44"/>
          <w:szCs w:val="44"/>
          <w:lang w:val="en-US" w:eastAsia="zh-CN"/>
        </w:rPr>
        <w:t>》的通知</w:t>
      </w:r>
    </w:p>
    <w:p w14:paraId="401F6770">
      <w:pPr>
        <w:pStyle w:val="7"/>
        <w:keepNext w:val="0"/>
        <w:keepLines w:val="0"/>
        <w:pageBreakBefore w:val="0"/>
        <w:widowControl w:val="0"/>
        <w:kinsoku/>
        <w:wordWrap/>
        <w:topLinePunct w:val="0"/>
        <w:autoSpaceDE/>
        <w:autoSpaceDN/>
        <w:bidi w:val="0"/>
        <w:adjustRightInd/>
        <w:snapToGrid/>
        <w:spacing w:after="0" w:line="600" w:lineRule="exact"/>
        <w:ind w:firstLine="0" w:firstLineChars="0"/>
        <w:rPr>
          <w:rFonts w:hint="default" w:ascii="Times New Roman" w:hAnsi="Times New Roman" w:eastAsia="方正小标宋简体" w:cs="Times New Roman"/>
          <w:color w:val="000000"/>
          <w:sz w:val="44"/>
          <w:szCs w:val="44"/>
          <w:lang w:val="en-US" w:eastAsia="zh-CN"/>
        </w:rPr>
      </w:pPr>
    </w:p>
    <w:p w14:paraId="61249F7C">
      <w:pPr>
        <w:pStyle w:val="7"/>
        <w:keepNext w:val="0"/>
        <w:keepLines w:val="0"/>
        <w:pageBreakBefore w:val="0"/>
        <w:widowControl w:val="0"/>
        <w:kinsoku/>
        <w:wordWrap/>
        <w:topLinePunct w:val="0"/>
        <w:autoSpaceDE/>
        <w:autoSpaceDN/>
        <w:bidi w:val="0"/>
        <w:adjustRightInd/>
        <w:snapToGrid/>
        <w:spacing w:after="0" w:line="600" w:lineRule="exact"/>
        <w:ind w:firstLine="0" w:firstLineChars="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各镇政府、街道办事处，区政府有关部门，有关企事业单位：</w:t>
      </w:r>
    </w:p>
    <w:p w14:paraId="45EBBC2F">
      <w:pPr>
        <w:pStyle w:val="7"/>
        <w:keepNext w:val="0"/>
        <w:keepLines w:val="0"/>
        <w:pageBreakBefore w:val="0"/>
        <w:widowControl w:val="0"/>
        <w:kinsoku/>
        <w:wordWrap/>
        <w:topLinePunct w:val="0"/>
        <w:autoSpaceDE/>
        <w:autoSpaceDN/>
        <w:bidi w:val="0"/>
        <w:adjustRightInd/>
        <w:snapToGrid/>
        <w:spacing w:after="0" w:line="600" w:lineRule="exact"/>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《薛城区国民经济和社会发展第十五个五年规划纲要》已经薛城区</w:t>
      </w:r>
      <w:r>
        <w:rPr>
          <w:rFonts w:hint="default" w:ascii="Times New Roman" w:hAnsi="Times New Roman" w:eastAsia="仿宋_GB2312" w:cs="Times New Roman"/>
          <w:color w:val="000000"/>
          <w:sz w:val="32"/>
          <w:szCs w:val="32"/>
          <w:highlight w:val="none"/>
          <w:lang w:val="en-US" w:eastAsia="zh-CN"/>
        </w:rPr>
        <w:t>第十</w:t>
      </w:r>
      <w:r>
        <w:rPr>
          <w:rFonts w:hint="eastAsia" w:eastAsia="仿宋_GB2312" w:cs="Times New Roman"/>
          <w:color w:val="000000"/>
          <w:sz w:val="32"/>
          <w:szCs w:val="32"/>
          <w:highlight w:val="none"/>
          <w:lang w:val="en-US" w:eastAsia="zh-CN"/>
        </w:rPr>
        <w:t>三</w:t>
      </w:r>
      <w:r>
        <w:rPr>
          <w:rFonts w:hint="default" w:ascii="Times New Roman" w:hAnsi="Times New Roman" w:eastAsia="仿宋_GB2312" w:cs="Times New Roman"/>
          <w:color w:val="000000"/>
          <w:sz w:val="32"/>
          <w:szCs w:val="32"/>
          <w:highlight w:val="none"/>
          <w:lang w:val="en-US" w:eastAsia="zh-CN"/>
        </w:rPr>
        <w:t>届人民代表大会第五次会议</w:t>
      </w:r>
      <w:r>
        <w:rPr>
          <w:rFonts w:hint="default" w:ascii="Times New Roman" w:hAnsi="Times New Roman" w:eastAsia="仿宋_GB2312" w:cs="Times New Roman"/>
          <w:color w:val="000000"/>
          <w:sz w:val="32"/>
          <w:szCs w:val="32"/>
          <w:lang w:val="en-US" w:eastAsia="zh-CN"/>
        </w:rPr>
        <w:t>审查批准，现印发给你们，请认真贯彻落实。</w:t>
      </w:r>
    </w:p>
    <w:p w14:paraId="5A7C860A">
      <w:pPr>
        <w:pStyle w:val="7"/>
        <w:keepNext w:val="0"/>
        <w:keepLines w:val="0"/>
        <w:pageBreakBefore w:val="0"/>
        <w:widowControl w:val="0"/>
        <w:kinsoku/>
        <w:wordWrap/>
        <w:topLinePunct w:val="0"/>
        <w:autoSpaceDE/>
        <w:autoSpaceDN/>
        <w:bidi w:val="0"/>
        <w:adjustRightInd/>
        <w:snapToGrid/>
        <w:spacing w:after="0" w:line="600" w:lineRule="exact"/>
        <w:ind w:firstLine="0" w:firstLineChars="0"/>
        <w:rPr>
          <w:rFonts w:hint="default" w:ascii="Times New Roman" w:hAnsi="Times New Roman" w:eastAsia="仿宋_GB2312" w:cs="Times New Roman"/>
          <w:color w:val="000000"/>
          <w:sz w:val="32"/>
          <w:szCs w:val="32"/>
          <w:lang w:val="en-US" w:eastAsia="zh-CN"/>
        </w:rPr>
      </w:pPr>
    </w:p>
    <w:p w14:paraId="21E00F89">
      <w:pPr>
        <w:pStyle w:val="7"/>
        <w:keepNext w:val="0"/>
        <w:keepLines w:val="0"/>
        <w:pageBreakBefore w:val="0"/>
        <w:widowControl w:val="0"/>
        <w:kinsoku/>
        <w:wordWrap w:val="0"/>
        <w:topLinePunct w:val="0"/>
        <w:autoSpaceDE/>
        <w:autoSpaceDN/>
        <w:bidi w:val="0"/>
        <w:adjustRightInd/>
        <w:snapToGrid/>
        <w:spacing w:after="0" w:line="600" w:lineRule="exact"/>
        <w:ind w:firstLine="5440" w:firstLineChars="1700"/>
        <w:jc w:val="right"/>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薛城区人民政府    </w:t>
      </w:r>
    </w:p>
    <w:p w14:paraId="50DA5B28">
      <w:pPr>
        <w:pStyle w:val="7"/>
        <w:keepNext w:val="0"/>
        <w:keepLines w:val="0"/>
        <w:pageBreakBefore w:val="0"/>
        <w:widowControl w:val="0"/>
        <w:kinsoku/>
        <w:wordWrap w:val="0"/>
        <w:topLinePunct w:val="0"/>
        <w:autoSpaceDE/>
        <w:autoSpaceDN/>
        <w:bidi w:val="0"/>
        <w:adjustRightInd/>
        <w:snapToGrid/>
        <w:spacing w:after="0" w:line="600" w:lineRule="exact"/>
        <w:jc w:val="right"/>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2026年7月</w:t>
      </w:r>
      <w:r>
        <w:rPr>
          <w:rFonts w:hint="eastAsia" w:eastAsia="仿宋_GB2312" w:cs="Times New Roman"/>
          <w:color w:val="000000"/>
          <w:sz w:val="32"/>
          <w:szCs w:val="32"/>
          <w:lang w:val="en-US" w:eastAsia="zh-CN"/>
        </w:rPr>
        <w:t>16</w:t>
      </w:r>
      <w:r>
        <w:rPr>
          <w:rFonts w:hint="default" w:ascii="Times New Roman" w:hAnsi="Times New Roman" w:eastAsia="仿宋_GB2312" w:cs="Times New Roman"/>
          <w:color w:val="000000"/>
          <w:sz w:val="32"/>
          <w:szCs w:val="32"/>
          <w:lang w:val="en-US" w:eastAsia="zh-CN"/>
        </w:rPr>
        <w:t xml:space="preserve">日   </w:t>
      </w:r>
    </w:p>
    <w:p w14:paraId="38F6ABAE">
      <w:pPr>
        <w:pStyle w:val="7"/>
        <w:keepNext w:val="0"/>
        <w:keepLines w:val="0"/>
        <w:pageBreakBefore w:val="0"/>
        <w:widowControl w:val="0"/>
        <w:kinsoku/>
        <w:wordWrap/>
        <w:topLinePunct w:val="0"/>
        <w:autoSpaceDE/>
        <w:autoSpaceDN/>
        <w:bidi w:val="0"/>
        <w:adjustRightInd/>
        <w:snapToGrid/>
        <w:spacing w:after="0" w:line="600" w:lineRule="exact"/>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（此件公开发布）</w:t>
      </w:r>
    </w:p>
    <w:p w14:paraId="252067BC">
      <w:pPr>
        <w:pageBreakBefore w:val="0"/>
        <w:kinsoku/>
        <w:autoSpaceDE/>
        <w:autoSpaceDN/>
        <w:bidi w:val="0"/>
        <w:spacing w:line="600" w:lineRule="exact"/>
        <w:rPr>
          <w:rFonts w:hint="default" w:ascii="Times New Roman" w:hAnsi="Times New Roman" w:cs="Times New Roman"/>
          <w:lang w:val="en-US" w:eastAsia="zh-CN"/>
        </w:rPr>
      </w:pPr>
      <w:r>
        <w:rPr>
          <w:rFonts w:hint="default" w:ascii="Times New Roman" w:hAnsi="Times New Roman" w:eastAsia="黑体" w:cs="Times New Roman"/>
          <w:sz w:val="32"/>
          <w:szCs w:val="32"/>
        </w:rPr>
        <w:br w:type="page"/>
      </w:r>
    </w:p>
    <w:p w14:paraId="0407A6C9">
      <w:pPr>
        <w:pStyle w:val="3"/>
        <w:rPr>
          <w:rFonts w:hint="default"/>
          <w:lang w:val="en-US" w:eastAsia="zh-CN"/>
        </w:rPr>
      </w:pPr>
    </w:p>
    <w:p w14:paraId="3E181DB6">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rPr>
      </w:pPr>
    </w:p>
    <w:p w14:paraId="177F0BDB">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rPr>
      </w:pPr>
    </w:p>
    <w:p w14:paraId="60D5A49C">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rPr>
      </w:pPr>
    </w:p>
    <w:p w14:paraId="0BDB88BF">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rPr>
      </w:pPr>
    </w:p>
    <w:p w14:paraId="43978A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方正小标宋简体" w:cs="Times New Roman"/>
          <w:kern w:val="21"/>
          <w:sz w:val="44"/>
          <w:szCs w:val="44"/>
        </w:rPr>
      </w:pPr>
      <w:r>
        <w:rPr>
          <w:rFonts w:hint="default" w:ascii="Times New Roman" w:hAnsi="Times New Roman" w:eastAsia="方正小标宋简体" w:cs="Times New Roman"/>
          <w:kern w:val="21"/>
          <w:sz w:val="44"/>
          <w:szCs w:val="44"/>
          <w:lang w:val="en-US" w:eastAsia="zh-CN"/>
        </w:rPr>
        <w:t>薛城区</w:t>
      </w:r>
      <w:r>
        <w:rPr>
          <w:rFonts w:hint="default" w:ascii="Times New Roman" w:hAnsi="Times New Roman" w:eastAsia="方正小标宋简体" w:cs="Times New Roman"/>
          <w:kern w:val="21"/>
          <w:sz w:val="44"/>
          <w:szCs w:val="44"/>
        </w:rPr>
        <w:t>国民经济和社会发展</w:t>
      </w:r>
    </w:p>
    <w:p w14:paraId="44DBE9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方正小标宋简体" w:cs="Times New Roman"/>
          <w:kern w:val="21"/>
          <w:sz w:val="48"/>
          <w:szCs w:val="48"/>
          <w:lang w:val="en-US" w:eastAsia="zh-CN"/>
        </w:rPr>
      </w:pPr>
      <w:r>
        <w:rPr>
          <w:rFonts w:hint="default" w:ascii="Times New Roman" w:hAnsi="Times New Roman" w:eastAsia="方正小标宋简体" w:cs="Times New Roman"/>
          <w:kern w:val="21"/>
          <w:sz w:val="44"/>
          <w:szCs w:val="44"/>
        </w:rPr>
        <w:t>第十</w:t>
      </w:r>
      <w:r>
        <w:rPr>
          <w:rFonts w:hint="default" w:ascii="Times New Roman" w:hAnsi="Times New Roman" w:eastAsia="方正小标宋简体" w:cs="Times New Roman"/>
          <w:kern w:val="21"/>
          <w:sz w:val="44"/>
          <w:szCs w:val="44"/>
          <w:lang w:val="en-US" w:eastAsia="zh-CN"/>
        </w:rPr>
        <w:t>五</w:t>
      </w:r>
      <w:r>
        <w:rPr>
          <w:rFonts w:hint="default" w:ascii="Times New Roman" w:hAnsi="Times New Roman" w:eastAsia="方正小标宋简体" w:cs="Times New Roman"/>
          <w:kern w:val="21"/>
          <w:sz w:val="44"/>
          <w:szCs w:val="44"/>
        </w:rPr>
        <w:t>个五年规划纲要</w:t>
      </w:r>
    </w:p>
    <w:p w14:paraId="3F0D3CB2">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rPr>
      </w:pPr>
    </w:p>
    <w:p w14:paraId="120B9A97">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rPr>
      </w:pPr>
    </w:p>
    <w:p w14:paraId="529D910F">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rPr>
      </w:pPr>
    </w:p>
    <w:p w14:paraId="2239628F">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lang w:eastAsia="zh-CN"/>
        </w:rPr>
      </w:pPr>
    </w:p>
    <w:p w14:paraId="354D3A80">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lang w:eastAsia="zh-CN"/>
        </w:rPr>
      </w:pPr>
    </w:p>
    <w:p w14:paraId="4E6378FB">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lang w:eastAsia="zh-CN"/>
        </w:rPr>
      </w:pPr>
    </w:p>
    <w:p w14:paraId="53DAF9AB">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lang w:eastAsia="zh-CN"/>
        </w:rPr>
      </w:pPr>
    </w:p>
    <w:p w14:paraId="062B2170">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lang w:eastAsia="zh-CN"/>
        </w:rPr>
      </w:pPr>
    </w:p>
    <w:p w14:paraId="0B0ECCAE">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lang w:eastAsia="zh-CN"/>
        </w:rPr>
      </w:pPr>
    </w:p>
    <w:p w14:paraId="3E4A3170">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lang w:eastAsia="zh-CN"/>
        </w:rPr>
      </w:pPr>
    </w:p>
    <w:p w14:paraId="6A760107">
      <w:pPr>
        <w:keepNext w:val="0"/>
        <w:keepLines w:val="0"/>
        <w:pageBreakBefore w:val="0"/>
        <w:widowControl w:val="0"/>
        <w:kinsoku/>
        <w:wordWrap/>
        <w:overflowPunct/>
        <w:topLinePunct/>
        <w:autoSpaceDE/>
        <w:autoSpaceDN/>
        <w:bidi w:val="0"/>
        <w:adjustRightInd w:val="0"/>
        <w:snapToGrid w:val="0"/>
        <w:spacing w:line="360" w:lineRule="auto"/>
        <w:ind w:firstLine="0" w:firstLineChars="0"/>
        <w:jc w:val="center"/>
        <w:textAlignment w:val="auto"/>
        <w:outlineLvl w:val="9"/>
        <w:rPr>
          <w:rFonts w:hint="default" w:ascii="Times New Roman" w:hAnsi="Times New Roman" w:eastAsia="仿宋_GB2312" w:cs="Times New Roman"/>
          <w:b w:val="0"/>
          <w:bCs w:val="0"/>
          <w:spacing w:val="0"/>
          <w:kern w:val="21"/>
          <w:sz w:val="32"/>
          <w:szCs w:val="32"/>
          <w:lang w:val="en-US" w:eastAsia="zh-CN"/>
        </w:rPr>
      </w:pPr>
    </w:p>
    <w:p w14:paraId="740DA64B">
      <w:pPr>
        <w:keepNext w:val="0"/>
        <w:keepLines w:val="0"/>
        <w:pageBreakBefore w:val="0"/>
        <w:widowControl w:val="0"/>
        <w:kinsoku/>
        <w:wordWrap/>
        <w:overflowPunct/>
        <w:topLinePunct/>
        <w:autoSpaceDE/>
        <w:autoSpaceDN/>
        <w:bidi w:val="0"/>
        <w:adjustRightInd w:val="0"/>
        <w:snapToGrid w:val="0"/>
        <w:spacing w:line="360" w:lineRule="auto"/>
        <w:ind w:firstLine="0" w:firstLineChars="0"/>
        <w:jc w:val="center"/>
        <w:textAlignment w:val="auto"/>
        <w:outlineLvl w:val="9"/>
        <w:rPr>
          <w:rFonts w:hint="default" w:ascii="Times New Roman" w:hAnsi="Times New Roman" w:eastAsia="黑体" w:cs="Times New Roman"/>
          <w:b w:val="0"/>
          <w:bCs w:val="0"/>
          <w:spacing w:val="0"/>
          <w:kern w:val="21"/>
          <w:sz w:val="32"/>
          <w:szCs w:val="32"/>
          <w:lang w:val="en-US" w:eastAsia="zh-CN"/>
        </w:rPr>
      </w:pPr>
      <w:r>
        <w:rPr>
          <w:rFonts w:hint="default" w:ascii="Times New Roman" w:hAnsi="Times New Roman" w:eastAsia="黑体" w:cs="Times New Roman"/>
          <w:b w:val="0"/>
          <w:bCs w:val="0"/>
          <w:spacing w:val="0"/>
          <w:kern w:val="21"/>
          <w:sz w:val="32"/>
          <w:szCs w:val="32"/>
          <w:lang w:val="en-US" w:eastAsia="zh-CN"/>
        </w:rPr>
        <w:t>2026年2月</w:t>
      </w:r>
    </w:p>
    <w:p w14:paraId="650CE51D">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lang w:eastAsia="zh-CN"/>
        </w:rPr>
      </w:pPr>
    </w:p>
    <w:p w14:paraId="1349D1A2">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21"/>
          <w:sz w:val="32"/>
          <w:szCs w:val="32"/>
        </w:rPr>
      </w:pPr>
    </w:p>
    <w:p w14:paraId="398A0340">
      <w:pPr>
        <w:pStyle w:val="3"/>
        <w:rPr>
          <w:rFonts w:hint="default"/>
        </w:rPr>
        <w:sectPr>
          <w:footerReference r:id="rId5" w:type="default"/>
          <w:pgSz w:w="11906" w:h="16838"/>
          <w:pgMar w:top="1701" w:right="1701" w:bottom="1701" w:left="1701" w:header="851" w:footer="992" w:gutter="0"/>
          <w:pgNumType w:fmt="decimal" w:start="1"/>
          <w:cols w:space="425" w:num="1"/>
          <w:docGrid w:type="lines" w:linePitch="312" w:charSpace="0"/>
        </w:sectPr>
      </w:pPr>
    </w:p>
    <w:p w14:paraId="046A96DB">
      <w:pPr>
        <w:rPr>
          <w:rFonts w:hint="default"/>
        </w:rPr>
      </w:pPr>
    </w:p>
    <w:sdt>
      <w:sdtPr>
        <w:rPr>
          <w:rFonts w:hint="default" w:ascii="Times New Roman" w:hAnsi="Times New Roman" w:eastAsia="宋体" w:cs="Times New Roman"/>
          <w:kern w:val="2"/>
          <w:sz w:val="21"/>
          <w:szCs w:val="24"/>
          <w:lang w:val="en-US" w:eastAsia="zh-CN" w:bidi="ar-SA"/>
        </w:rPr>
        <w:id w:val="705285635"/>
        <w15:color w:val="DBDBDB"/>
        <w:docPartObj>
          <w:docPartGallery w:val="Table of Contents"/>
          <w:docPartUnique/>
        </w:docPartObj>
      </w:sdtPr>
      <w:sdtEndPr>
        <w:rPr>
          <w:rFonts w:hint="default" w:ascii="Times New Roman" w:hAnsi="Times New Roman" w:eastAsia="仿宋_GB2312" w:cs="Times New Roman"/>
          <w:kern w:val="21"/>
          <w:sz w:val="32"/>
          <w:szCs w:val="32"/>
          <w:lang w:val="en-US" w:eastAsia="zh-CN" w:bidi="ar-SA"/>
        </w:rPr>
      </w:sdtEndPr>
      <w:sdtContent>
        <w:p w14:paraId="781207CB">
          <w:pPr>
            <w:spacing w:before="0" w:beforeLines="0" w:after="0" w:afterLines="0" w:line="240" w:lineRule="auto"/>
            <w:ind w:left="0" w:leftChars="0" w:right="0" w:rightChars="0" w:firstLine="0" w:firstLineChars="0"/>
            <w:jc w:val="center"/>
            <w:rPr>
              <w:rFonts w:hint="default" w:ascii="Times New Roman" w:hAnsi="Times New Roman" w:eastAsia="方正小标宋_GBK" w:cs="Times New Roman"/>
              <w:b/>
              <w:bCs/>
              <w:kern w:val="21"/>
              <w:sz w:val="44"/>
              <w:szCs w:val="44"/>
            </w:rPr>
          </w:pPr>
          <w:r>
            <w:rPr>
              <w:rFonts w:hint="eastAsia" w:ascii="方正小标宋简体" w:hAnsi="方正小标宋简体" w:eastAsia="方正小标宋简体" w:cs="方正小标宋简体"/>
              <w:b w:val="0"/>
              <w:bCs w:val="0"/>
              <w:kern w:val="21"/>
              <w:sz w:val="32"/>
              <w:szCs w:val="32"/>
            </w:rPr>
            <w:t>目</w:t>
          </w:r>
          <w:r>
            <w:rPr>
              <w:rFonts w:hint="eastAsia" w:ascii="方正小标宋简体" w:hAnsi="方正小标宋简体" w:eastAsia="方正小标宋简体" w:cs="方正小标宋简体"/>
              <w:b w:val="0"/>
              <w:bCs w:val="0"/>
              <w:kern w:val="21"/>
              <w:sz w:val="32"/>
              <w:szCs w:val="32"/>
              <w:lang w:val="en-US" w:eastAsia="zh-CN"/>
            </w:rPr>
            <w:t xml:space="preserve">  </w:t>
          </w:r>
          <w:r>
            <w:rPr>
              <w:rFonts w:hint="eastAsia" w:ascii="方正小标宋简体" w:hAnsi="方正小标宋简体" w:eastAsia="方正小标宋简体" w:cs="方正小标宋简体"/>
              <w:b w:val="0"/>
              <w:bCs w:val="0"/>
              <w:kern w:val="21"/>
              <w:sz w:val="32"/>
              <w:szCs w:val="32"/>
            </w:rPr>
            <w:t>录</w:t>
          </w:r>
        </w:p>
        <w:p w14:paraId="5D94DF4E">
          <w:pPr>
            <w:pStyle w:val="12"/>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32"/>
              <w:szCs w:val="32"/>
              <w:lang w:val="en-US" w:eastAsia="zh-CN"/>
            </w:rPr>
            <w:fldChar w:fldCharType="begin"/>
          </w:r>
          <w:r>
            <w:rPr>
              <w:rFonts w:hint="default" w:ascii="Times New Roman" w:hAnsi="Times New Roman" w:eastAsia="仿宋_GB2312" w:cs="Times New Roman"/>
              <w:kern w:val="21"/>
              <w:sz w:val="32"/>
              <w:szCs w:val="32"/>
              <w:lang w:val="en-US" w:eastAsia="zh-CN"/>
            </w:rPr>
            <w:instrText xml:space="preserve">TOC \o "1-2" \h \u </w:instrText>
          </w:r>
          <w:r>
            <w:rPr>
              <w:rFonts w:hint="default" w:ascii="Times New Roman" w:hAnsi="Times New Roman" w:eastAsia="仿宋_GB2312" w:cs="Times New Roman"/>
              <w:kern w:val="21"/>
              <w:sz w:val="32"/>
              <w:szCs w:val="32"/>
              <w:lang w:val="en-US" w:eastAsia="zh-CN"/>
            </w:rPr>
            <w:fldChar w:fldCharType="separate"/>
          </w: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_Toc2024787129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黑体" w:cs="Times New Roman"/>
              <w:bCs/>
              <w:kern w:val="21"/>
              <w:sz w:val="28"/>
              <w:szCs w:val="28"/>
              <w:lang w:val="en-US" w:eastAsia="zh-CN"/>
            </w:rPr>
            <w:t>第一章  立足新起点，开启现代化强区建设新征程</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_Toc2024787129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6C21C168">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_Toc33215937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“十四五”时期取得重要成就</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_Toc33215937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4588EEC3">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_Toc1594585819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“十五五”时期面临新环境新机遇新挑战</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_Toc1594585819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4AFF4F4D">
          <w:pPr>
            <w:pStyle w:val="12"/>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_Toc249951286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黑体" w:cs="Times New Roman"/>
              <w:bCs/>
              <w:kern w:val="21"/>
              <w:sz w:val="28"/>
              <w:szCs w:val="28"/>
              <w:lang w:val="en-US" w:eastAsia="zh-CN"/>
            </w:rPr>
            <w:t>第二章  锚定新方位，努力开创中国式现代化薛城实践</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_Toc249951286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10</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5D3F67CC">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_Toc1958060643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指导思想</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_Toc1958060643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10</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0045CE2D">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_Toc731932307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基本原则</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_Toc731932307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6C07A61F">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_Toc1497625638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第三节  战略定位</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_Toc1497625638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12</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1D7E02C7">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_Toc2115881511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第四节  发展目标</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_Toc2115881511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186013A2">
          <w:pPr>
            <w:pStyle w:val="12"/>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_Toc1438687758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黑体" w:cs="Times New Roman"/>
              <w:bCs/>
              <w:kern w:val="21"/>
              <w:sz w:val="28"/>
              <w:szCs w:val="28"/>
              <w:lang w:val="en-US" w:eastAsia="zh-CN"/>
            </w:rPr>
            <w:t>第三章 构建现代化产业体系，筑牢实体经济根基</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_Toc1438687758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5693FEEB">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_Toc1877332914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聚力优势产业提质增效</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_Toc1877332914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7B1B911F">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_Toc578549720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推动新兴产业崛起成势</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_Toc578549720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6A7D7EE6">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_Toc1480140176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第三节  促进服务业优质高效发展</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_Toc1480140176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35044DA7">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_Toc953025226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第四节  强化产业生态支撑体系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_Toc953025226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23</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01D0F988">
          <w:pPr>
            <w:pStyle w:val="12"/>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_Toc1734799809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黑体" w:cs="Times New Roman"/>
              <w:bCs/>
              <w:kern w:val="21"/>
              <w:sz w:val="28"/>
              <w:szCs w:val="28"/>
              <w:lang w:val="en-US" w:eastAsia="zh-CN"/>
            </w:rPr>
            <w:t>第四章  提升城市品质能级，建设宜居宜业市驻地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_Toc1734799809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26</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40C1D909">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_Toc297985186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优化城市空间功能布局</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_Toc297985186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26</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055750A0">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_Toc439841322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推动城市内涵式发展</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_Toc439841322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27</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512FD161">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_Toc1315714064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第三节  提升精细化管理水平</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_Toc1315714064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28</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6C1C037B">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_Toc233107526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第四节  融入区域发展战略</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_Toc233107526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29</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3C8BDCFD">
          <w:pPr>
            <w:pStyle w:val="12"/>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_Toc37403421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黑体" w:cs="Times New Roman"/>
              <w:bCs/>
              <w:kern w:val="21"/>
              <w:sz w:val="28"/>
              <w:szCs w:val="28"/>
              <w:lang w:val="en-US" w:eastAsia="zh-CN"/>
            </w:rPr>
            <w:t>第五章  强化科技创新驱动，激活高质量发展动能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_Toc37403421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32</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7A131021">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_Toc1886268087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强化企业创新主体地位</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_Toc1886268087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33</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50D2CEDD">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_Toc1891596826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健全创新平台体系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_Toc1891596826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34</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3813174E">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_Toc875071192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第三节  实施人才强区战略</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_Toc875071192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35</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43713850">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_Toc968977806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第四节  优化创新生态环境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_Toc968977806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37</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3EEA0C0F">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_Toc1388107431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第五节  推进数字强区建设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_Toc1388107431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38</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554F479E">
          <w:pPr>
            <w:pStyle w:val="12"/>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_Toc1152288412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黑体" w:cs="Times New Roman"/>
              <w:bCs/>
              <w:kern w:val="21"/>
              <w:sz w:val="28"/>
              <w:szCs w:val="28"/>
              <w:lang w:val="en-US" w:eastAsia="zh-CN"/>
            </w:rPr>
            <w:t>第六章  坚持消费投资双轮驱动，全方位扩大内需</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_Toc1152288412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40</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592F1C10">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_Toc278825189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推动消费提质扩容</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_Toc278825189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40</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0EF3BA26">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_Toc1706213213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扩大有效投资</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_Toc1706213213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42</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7E092DD9">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_Toc819821651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第三节  提升基础设施支撑能力</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_Toc819821651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43</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60F8CEE4">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_Toc925283350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第四节  服务和融入全国统一大市场</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_Toc925283350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45</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6BB228A0">
          <w:pPr>
            <w:pStyle w:val="12"/>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_Toc705376359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黑体" w:cs="Times New Roman"/>
              <w:bCs/>
              <w:kern w:val="21"/>
              <w:sz w:val="28"/>
              <w:szCs w:val="28"/>
              <w:lang w:val="en-US" w:eastAsia="zh-CN"/>
            </w:rPr>
            <w:t>第七章  深化改革开放，增强内生动力和外部活力</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_Toc705376359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46</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62C9F4D0">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_Toc1702855865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激发各类经营主体活力</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_Toc1702855865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46</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352728FB">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_Toc802586831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推进要素市场化配置改革</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_Toc802586831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48</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607B52CE">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_Toc738592296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第三节  打造一流营商环境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_Toc738592296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50</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0D30CE97">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_Toc1149958036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第四节  提升招商引资质效</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_Toc1149958036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51</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03B8D5AD">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_Toc1052538117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第五节  扩大高水平对外开放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_Toc1052538117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52</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0FCDA15B">
          <w:pPr>
            <w:pStyle w:val="12"/>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_Toc549169292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黑体" w:cs="Times New Roman"/>
              <w:bCs/>
              <w:spacing w:val="0"/>
              <w:kern w:val="21"/>
              <w:sz w:val="28"/>
              <w:szCs w:val="28"/>
              <w:lang w:val="en-US" w:eastAsia="zh-CN"/>
            </w:rPr>
            <w:t>第八章  扎实推进乡村全面振兴，加快农业农村现代化</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_Toc549169292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54</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06ECB59C">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_Toc1881890344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推动乡村产业高质高效发展</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_Toc1881890344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54</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7AFF1499">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_Toc402680107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建设生态宜居美丽乡村</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_Toc402680107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57</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78B79A80">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_Toc517567155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第三节  完善强农惠农富农政策</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_Toc517567155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58</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5CFAB875">
          <w:pPr>
            <w:pStyle w:val="12"/>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_Toc1173094454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黑体" w:cs="Times New Roman"/>
              <w:bCs/>
              <w:spacing w:val="0"/>
              <w:kern w:val="21"/>
              <w:sz w:val="28"/>
              <w:szCs w:val="28"/>
              <w:lang w:val="en-US" w:eastAsia="zh-CN"/>
            </w:rPr>
            <w:t>第九章  全面推进绿色低碳转型，加快建设美丽薛城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_Toc1173094454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61</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3B389B37">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_Toc132529373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稳妥推进和实现碳达峰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_Toc132529373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61</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364FDC49">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_Toc1096116875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倡导绿色低碳生活方式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_Toc1096116875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62</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053E7F61">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_Toc505750982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第三节  深入打好污染防治攻坚战</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_Toc505750982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64</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789EDFC5">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_Toc1085554599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第四节  加强生态保护与修复</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_Toc1085554599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65</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60D1CD5A">
          <w:pPr>
            <w:pStyle w:val="13"/>
            <w:tabs>
              <w:tab w:val="right" w:leader="dot" w:pos="8504"/>
            </w:tabs>
            <w:ind w:left="0" w:leftChars="0" w:firstLine="0" w:firstLineChars="0"/>
            <w:rPr>
              <w:rFonts w:hint="default" w:ascii="Times New Roman" w:hAnsi="Times New Roman" w:eastAsia="仿宋" w:cs="Times New Roman"/>
              <w:bCs/>
              <w:spacing w:val="0"/>
              <w:kern w:val="21"/>
              <w:sz w:val="28"/>
              <w:szCs w:val="28"/>
              <w:lang w:val="en-US" w:eastAsia="zh-CN" w:bidi="ar-SA"/>
            </w:rPr>
          </w:pPr>
          <w:r>
            <w:rPr>
              <w:rFonts w:hint="eastAsia" w:ascii="Times New Roman" w:hAnsi="Times New Roman" w:eastAsia="黑体" w:cs="Times New Roman"/>
              <w:bCs/>
              <w:spacing w:val="0"/>
              <w:kern w:val="21"/>
              <w:sz w:val="28"/>
              <w:szCs w:val="28"/>
              <w:lang w:val="en-US" w:eastAsia="zh-CN" w:bidi="ar-SA"/>
            </w:rPr>
            <w:t>第十章  推进文化强区建设，繁荣文化事业文化产业</w:t>
          </w:r>
          <w:r>
            <w:rPr>
              <w:rFonts w:hint="default" w:ascii="Times New Roman" w:hAnsi="Times New Roman" w:cs="Times New Roman"/>
              <w:sz w:val="28"/>
              <w:szCs w:val="28"/>
            </w:rPr>
            <w:tab/>
          </w:r>
          <w:r>
            <w:rPr>
              <w:rFonts w:hint="eastAsia" w:ascii="Times New Roman" w:hAnsi="Times New Roman" w:cs="Times New Roman"/>
              <w:sz w:val="28"/>
              <w:szCs w:val="28"/>
              <w:lang w:val="en-US" w:eastAsia="zh-CN"/>
            </w:rPr>
            <w:t>67</w:t>
          </w:r>
        </w:p>
        <w:p w14:paraId="427933B9">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_Toc683433036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提升城市文明程度</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_Toc683433036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67</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488C8BFF">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_Toc803736168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积极发展文化事业</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_Toc803736168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68</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62F08504">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_Toc1525395921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第三节  培育壮大文化产业</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_Toc1525395921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70</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49A1B6D3">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_Toc1999147100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第四节  推进文旅深度融合</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_Toc1999147100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71</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066DAAEE">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_Toc1036843694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第五节  提升文化交流传播力影响力</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_Toc1036843694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72</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248FB782">
          <w:pPr>
            <w:pStyle w:val="12"/>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_Toc1562799342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黑体" w:cs="Times New Roman"/>
              <w:bCs/>
              <w:kern w:val="21"/>
              <w:sz w:val="28"/>
              <w:szCs w:val="28"/>
              <w:lang w:val="en-US" w:eastAsia="zh-CN"/>
            </w:rPr>
            <w:t>第十一章  增进民生福祉，让人民共享高品质生活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_Toc1562799342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73</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4815F71E">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_Toc1737931539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促进居民就业增收</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_Toc1737931539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74</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121E3A94">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_Toc780956872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办好人民满意教育</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_Toc780956872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75</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33F2ED87">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_Toc290386886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第三节  健全多层次社会保障体系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_Toc290386886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78</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012AA718">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_Toc559425697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第四节  完善住房供给保障体系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_Toc559425697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80</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24BC76F1">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_Toc21580655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第五节  加快建设“健康薛城”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_Toc21580655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81</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6289751C">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_Toc1442675298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第六节  促进人口高质量发展</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_Toc1442675298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82</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0E875812">
          <w:pPr>
            <w:pStyle w:val="12"/>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_Toc838250887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黑体" w:cs="Times New Roman"/>
              <w:bCs/>
              <w:kern w:val="21"/>
              <w:sz w:val="28"/>
              <w:szCs w:val="28"/>
              <w:lang w:val="en-US" w:eastAsia="zh-CN"/>
            </w:rPr>
            <w:t>第十二章  贯彻总体国家安全观，建设更高水平平安薛城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_Toc838250887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84</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478A21B6">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_Toc1727793868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筑牢经济安全根基</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_Toc1727793868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85</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6258D2C4">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_Toc115013302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坚决保障生产安全</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_Toc115013302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86</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436F85D9">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_Toc1763534237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第三节  维护社会稳定和谐</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_Toc1763534237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87</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183EDE3C">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_Toc285686579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第四节  推进应急管理现代化</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_Toc285686579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88</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500E5DFA">
          <w:pPr>
            <w:pStyle w:val="12"/>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_Toc1817869167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黑体" w:cs="Times New Roman"/>
              <w:bCs/>
              <w:kern w:val="21"/>
              <w:sz w:val="28"/>
              <w:szCs w:val="28"/>
              <w:lang w:val="en-US" w:eastAsia="zh-CN"/>
            </w:rPr>
            <w:t>第十三章  加强党的全面领导，凝心聚力建设品质薛城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_Toc1817869167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90</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748DF434">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_Toc418637420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第一节  坚持和加强党的全面领导</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_Toc418637420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90</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250B8B81">
          <w:pPr>
            <w:pStyle w:val="13"/>
            <w:tabs>
              <w:tab w:val="right" w:leader="dot" w:pos="8504"/>
            </w:tabs>
            <w:rPr>
              <w:rFonts w:hint="default" w:ascii="Times New Roman" w:hAnsi="Times New Roman" w:cs="Times New Roman"/>
              <w:sz w:val="28"/>
              <w:szCs w:val="28"/>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_Toc1024278876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第二节  广泛凝聚团结奋斗合力</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_Toc1024278876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91</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55A26799">
          <w:pPr>
            <w:pStyle w:val="13"/>
            <w:tabs>
              <w:tab w:val="right" w:leader="dot" w:pos="8504"/>
            </w:tabs>
            <w:rPr>
              <w:rFonts w:hint="default" w:ascii="Times New Roman" w:hAnsi="Times New Roman" w:cs="Times New Roman"/>
            </w:rPr>
          </w:pPr>
          <w:r>
            <w:rPr>
              <w:rFonts w:hint="default" w:ascii="Times New Roman" w:hAnsi="Times New Roman" w:eastAsia="仿宋_GB2312" w:cs="Times New Roman"/>
              <w:kern w:val="21"/>
              <w:sz w:val="28"/>
              <w:szCs w:val="28"/>
              <w:lang w:val="en-US" w:eastAsia="zh-CN"/>
            </w:rPr>
            <w:fldChar w:fldCharType="begin"/>
          </w:r>
          <w:r>
            <w:rPr>
              <w:rFonts w:hint="default" w:ascii="Times New Roman" w:hAnsi="Times New Roman" w:eastAsia="仿宋_GB2312" w:cs="Times New Roman"/>
              <w:kern w:val="21"/>
              <w:sz w:val="28"/>
              <w:szCs w:val="28"/>
              <w:lang w:val="en-US" w:eastAsia="zh-CN"/>
            </w:rPr>
            <w:instrText xml:space="preserve"> HYPERLINK \l _Toc820343556 </w:instrText>
          </w:r>
          <w:r>
            <w:rPr>
              <w:rFonts w:hint="default" w:ascii="Times New Roman" w:hAnsi="Times New Roman" w:eastAsia="仿宋_GB2312" w:cs="Times New Roman"/>
              <w:kern w:val="21"/>
              <w:sz w:val="28"/>
              <w:szCs w:val="28"/>
              <w:lang w:val="en-US" w:eastAsia="zh-CN"/>
            </w:rPr>
            <w:fldChar w:fldCharType="separate"/>
          </w:r>
          <w:r>
            <w:rPr>
              <w:rFonts w:hint="default" w:ascii="Times New Roman" w:hAnsi="Times New Roman" w:eastAsia="楷体_GB2312" w:cs="Times New Roman"/>
              <w:kern w:val="21"/>
              <w:sz w:val="28"/>
              <w:szCs w:val="28"/>
              <w:highlight w:val="none"/>
              <w:lang w:val="en-US" w:eastAsia="zh-CN"/>
            </w:rPr>
            <w:t>第三节  健全规划制定和落实机制</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_Toc820343556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92</w:t>
          </w:r>
          <w:r>
            <w:rPr>
              <w:rFonts w:hint="default" w:ascii="Times New Roman" w:hAnsi="Times New Roman" w:cs="Times New Roman"/>
              <w:sz w:val="28"/>
              <w:szCs w:val="28"/>
            </w:rPr>
            <w:fldChar w:fldCharType="end"/>
          </w:r>
          <w:r>
            <w:rPr>
              <w:rFonts w:hint="default" w:ascii="Times New Roman" w:hAnsi="Times New Roman" w:eastAsia="仿宋_GB2312" w:cs="Times New Roman"/>
              <w:kern w:val="21"/>
              <w:sz w:val="28"/>
              <w:szCs w:val="28"/>
              <w:lang w:val="en-US" w:eastAsia="zh-CN"/>
            </w:rPr>
            <w:fldChar w:fldCharType="end"/>
          </w:r>
        </w:p>
        <w:p w14:paraId="22B329E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rPr>
          </w:pPr>
          <w:r>
            <w:rPr>
              <w:rFonts w:hint="default" w:ascii="Times New Roman" w:hAnsi="Times New Roman" w:eastAsia="仿宋_GB2312" w:cs="Times New Roman"/>
              <w:kern w:val="21"/>
              <w:szCs w:val="32"/>
              <w:lang w:val="en-US" w:eastAsia="zh-CN"/>
            </w:rPr>
            <w:fldChar w:fldCharType="end"/>
          </w:r>
        </w:p>
      </w:sdtContent>
    </w:sdt>
    <w:p w14:paraId="75462E4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lang w:val="en-US" w:eastAsia="zh-CN"/>
        </w:rPr>
        <w:sectPr>
          <w:footerReference r:id="rId6" w:type="default"/>
          <w:pgSz w:w="11906" w:h="16838"/>
          <w:pgMar w:top="1701" w:right="1701" w:bottom="1701" w:left="1701" w:header="851" w:footer="992" w:gutter="0"/>
          <w:pgNumType w:fmt="decimal" w:start="1"/>
          <w:cols w:space="425" w:num="1"/>
          <w:docGrid w:type="lines" w:linePitch="312" w:charSpace="0"/>
        </w:sectPr>
      </w:pPr>
    </w:p>
    <w:p w14:paraId="6579F39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lang w:val="en-US" w:eastAsia="zh-CN"/>
        </w:rPr>
      </w:pPr>
      <w:r>
        <w:rPr>
          <w:rFonts w:hint="default" w:ascii="Times New Roman" w:hAnsi="Times New Roman" w:eastAsia="仿宋_GB2312" w:cs="Times New Roman"/>
          <w:kern w:val="21"/>
          <w:sz w:val="32"/>
          <w:szCs w:val="32"/>
          <w:lang w:val="en-US" w:eastAsia="zh-CN"/>
        </w:rPr>
        <w:t>薛城</w:t>
      </w:r>
      <w:r>
        <w:rPr>
          <w:rFonts w:hint="default" w:ascii="Times New Roman" w:hAnsi="Times New Roman" w:eastAsia="仿宋_GB2312" w:cs="Times New Roman"/>
          <w:kern w:val="21"/>
          <w:sz w:val="32"/>
          <w:szCs w:val="32"/>
        </w:rPr>
        <w:t>区</w:t>
      </w:r>
      <w:r>
        <w:rPr>
          <w:rFonts w:hint="default" w:ascii="Times New Roman" w:hAnsi="Times New Roman" w:eastAsia="仿宋_GB2312" w:cs="Times New Roman"/>
          <w:color w:val="auto"/>
          <w:sz w:val="32"/>
          <w:szCs w:val="32"/>
          <w:highlight w:val="none"/>
          <w:u w:val="none" w:color="auto"/>
        </w:rPr>
        <w:t>国民经济和社会发展第十五个五年</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val="en-US" w:eastAsia="zh-CN"/>
        </w:rPr>
        <w:t>2026—2030年</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规划</w:t>
      </w:r>
      <w:r>
        <w:rPr>
          <w:rFonts w:hint="default" w:ascii="Times New Roman" w:hAnsi="Times New Roman" w:eastAsia="仿宋_GB2312" w:cs="Times New Roman"/>
          <w:color w:val="auto"/>
          <w:sz w:val="32"/>
          <w:szCs w:val="32"/>
          <w:highlight w:val="none"/>
          <w:u w:val="none" w:color="auto"/>
          <w:lang w:val="en-US" w:eastAsia="zh-CN"/>
        </w:rPr>
        <w:t>纲要</w:t>
      </w:r>
      <w:r>
        <w:rPr>
          <w:rFonts w:hint="default" w:ascii="Times New Roman" w:hAnsi="Times New Roman" w:eastAsia="仿宋_GB2312" w:cs="Times New Roman"/>
          <w:kern w:val="21"/>
          <w:sz w:val="32"/>
          <w:szCs w:val="32"/>
        </w:rPr>
        <w:t>，</w:t>
      </w:r>
      <w:r>
        <w:rPr>
          <w:rFonts w:hint="default" w:ascii="Times New Roman" w:hAnsi="Times New Roman" w:eastAsia="仿宋_GB2312" w:cs="Times New Roman"/>
          <w:color w:val="auto"/>
          <w:sz w:val="32"/>
          <w:szCs w:val="32"/>
          <w:highlight w:val="none"/>
          <w:u w:val="none" w:color="auto"/>
        </w:rPr>
        <w:t>以习近平新时代中国特色社会主义思想为指导，</w:t>
      </w:r>
      <w:r>
        <w:rPr>
          <w:rFonts w:hint="default" w:ascii="Times New Roman" w:hAnsi="Times New Roman" w:eastAsia="仿宋_GB2312" w:cs="Times New Roman"/>
          <w:color w:val="auto"/>
          <w:sz w:val="32"/>
          <w:szCs w:val="32"/>
          <w:highlight w:val="none"/>
          <w:u w:val="none" w:color="auto"/>
          <w:lang w:val="en-US" w:eastAsia="zh-CN"/>
        </w:rPr>
        <w:t>深入贯彻党的二十届四中全会精神</w:t>
      </w:r>
      <w:r>
        <w:rPr>
          <w:rFonts w:hint="default" w:ascii="Times New Roman" w:hAnsi="Times New Roman"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lang w:val="en-US" w:eastAsia="zh-CN"/>
        </w:rPr>
        <w:t>省委十二届十次全会精神</w:t>
      </w:r>
      <w:r>
        <w:rPr>
          <w:rFonts w:hint="default" w:ascii="Times New Roman" w:hAnsi="Times New Roman" w:cs="Times New Roman"/>
          <w:color w:val="auto"/>
          <w:sz w:val="32"/>
          <w:szCs w:val="32"/>
          <w:highlight w:val="none"/>
          <w:u w:val="none" w:color="auto"/>
          <w:lang w:val="en-US" w:eastAsia="zh-CN"/>
        </w:rPr>
        <w:t>和</w:t>
      </w:r>
      <w:r>
        <w:rPr>
          <w:rFonts w:hint="default" w:ascii="Times New Roman" w:hAnsi="Times New Roman" w:eastAsia="仿宋_GB2312" w:cs="Times New Roman"/>
          <w:i w:val="0"/>
          <w:iCs w:val="0"/>
          <w:caps w:val="0"/>
          <w:snapToGrid w:val="0"/>
          <w:color w:val="auto"/>
          <w:spacing w:val="0"/>
          <w:kern w:val="0"/>
          <w:sz w:val="32"/>
          <w:szCs w:val="32"/>
          <w:shd w:val="clear" w:fill="FFFFFF"/>
          <w:lang w:val="en-US" w:eastAsia="zh-CN"/>
        </w:rPr>
        <w:t>市委十二届九次全会</w:t>
      </w:r>
      <w:r>
        <w:rPr>
          <w:rFonts w:hint="default" w:ascii="Times New Roman" w:hAnsi="Times New Roman" w:cs="Times New Roman"/>
          <w:i w:val="0"/>
          <w:iCs w:val="0"/>
          <w:caps w:val="0"/>
          <w:snapToGrid w:val="0"/>
          <w:color w:val="auto"/>
          <w:spacing w:val="0"/>
          <w:kern w:val="0"/>
          <w:sz w:val="32"/>
          <w:szCs w:val="32"/>
          <w:shd w:val="clear" w:fill="FFFFFF"/>
          <w:lang w:val="en-US" w:eastAsia="zh-CN"/>
        </w:rPr>
        <w:t>精神</w:t>
      </w:r>
      <w:r>
        <w:rPr>
          <w:rFonts w:hint="default" w:ascii="Times New Roman" w:hAnsi="Times New Roman" w:eastAsia="仿宋_GB2312" w:cs="Times New Roman"/>
          <w:color w:val="auto"/>
          <w:sz w:val="32"/>
          <w:szCs w:val="32"/>
          <w:highlight w:val="none"/>
          <w:u w:val="none" w:color="auto"/>
          <w:lang w:val="en-US" w:eastAsia="zh-CN"/>
        </w:rPr>
        <w:t>，根据</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val="en-US" w:eastAsia="zh-CN"/>
        </w:rPr>
        <w:t>中共</w:t>
      </w:r>
      <w:r>
        <w:rPr>
          <w:rFonts w:hint="default" w:ascii="Times New Roman" w:hAnsi="Times New Roman" w:cs="Times New Roman"/>
          <w:color w:val="auto"/>
          <w:sz w:val="32"/>
          <w:szCs w:val="32"/>
          <w:highlight w:val="none"/>
          <w:u w:val="none" w:color="auto"/>
          <w:lang w:val="en-US" w:eastAsia="zh-CN"/>
        </w:rPr>
        <w:t>薛城区</w:t>
      </w:r>
      <w:r>
        <w:rPr>
          <w:rFonts w:hint="default" w:ascii="Times New Roman" w:hAnsi="Times New Roman" w:eastAsia="仿宋_GB2312" w:cs="Times New Roman"/>
          <w:color w:val="auto"/>
          <w:sz w:val="32"/>
          <w:szCs w:val="32"/>
          <w:highlight w:val="none"/>
          <w:u w:val="none" w:color="auto"/>
          <w:lang w:val="en-US" w:eastAsia="zh-CN"/>
        </w:rPr>
        <w:t>委关于制定</w:t>
      </w:r>
      <w:r>
        <w:rPr>
          <w:rFonts w:hint="default" w:ascii="Times New Roman" w:hAnsi="Times New Roman" w:cs="Times New Roman"/>
          <w:color w:val="auto"/>
          <w:sz w:val="32"/>
          <w:szCs w:val="32"/>
          <w:highlight w:val="none"/>
          <w:u w:val="none" w:color="auto"/>
          <w:lang w:val="en-US" w:eastAsia="zh-CN"/>
        </w:rPr>
        <w:t>薛城区</w:t>
      </w:r>
      <w:r>
        <w:rPr>
          <w:rFonts w:hint="default" w:ascii="Times New Roman" w:hAnsi="Times New Roman" w:eastAsia="仿宋_GB2312" w:cs="Times New Roman"/>
          <w:color w:val="auto"/>
          <w:sz w:val="32"/>
          <w:szCs w:val="32"/>
          <w:highlight w:val="none"/>
          <w:u w:val="none" w:color="auto"/>
          <w:lang w:val="en-US" w:eastAsia="zh-CN"/>
        </w:rPr>
        <w:t>国民经济和社会发展第十五个五年规划的</w:t>
      </w:r>
      <w:r>
        <w:rPr>
          <w:rFonts w:hint="default" w:ascii="Times New Roman" w:hAnsi="Times New Roman" w:eastAsia="仿宋_GB2312" w:cs="Times New Roman"/>
          <w:color w:val="auto"/>
          <w:sz w:val="32"/>
          <w:szCs w:val="32"/>
          <w:highlight w:val="none"/>
          <w:u w:val="none" w:color="auto"/>
          <w:lang w:eastAsia="zh-CN"/>
        </w:rPr>
        <w:t>建议》编制</w:t>
      </w:r>
      <w:r>
        <w:rPr>
          <w:rFonts w:hint="default" w:ascii="Times New Roman" w:hAnsi="Times New Roman" w:eastAsia="仿宋_GB2312" w:cs="Times New Roman"/>
          <w:color w:val="auto"/>
          <w:sz w:val="32"/>
          <w:szCs w:val="32"/>
          <w:highlight w:val="none"/>
          <w:u w:val="none" w:color="auto"/>
        </w:rPr>
        <w:t>，主要阐明</w:t>
      </w:r>
      <w:r>
        <w:rPr>
          <w:rFonts w:hint="default" w:ascii="Times New Roman" w:hAnsi="Times New Roman" w:cs="Times New Roman"/>
          <w:color w:val="auto"/>
          <w:sz w:val="32"/>
          <w:szCs w:val="32"/>
          <w:highlight w:val="none"/>
          <w:u w:val="none" w:color="auto"/>
          <w:lang w:val="en-US" w:eastAsia="zh-CN"/>
        </w:rPr>
        <w:t>区</w:t>
      </w:r>
      <w:r>
        <w:rPr>
          <w:rFonts w:hint="default" w:ascii="Times New Roman" w:hAnsi="Times New Roman" w:eastAsia="仿宋_GB2312" w:cs="Times New Roman"/>
          <w:color w:val="auto"/>
          <w:sz w:val="32"/>
          <w:szCs w:val="32"/>
          <w:highlight w:val="none"/>
          <w:u w:val="none" w:color="auto"/>
        </w:rPr>
        <w:t>委、</w:t>
      </w:r>
      <w:r>
        <w:rPr>
          <w:rFonts w:hint="default" w:ascii="Times New Roman" w:hAnsi="Times New Roman" w:cs="Times New Roman"/>
          <w:color w:val="auto"/>
          <w:sz w:val="32"/>
          <w:szCs w:val="32"/>
          <w:highlight w:val="none"/>
          <w:u w:val="none" w:color="auto"/>
          <w:lang w:val="en-US" w:eastAsia="zh-CN"/>
        </w:rPr>
        <w:t>区</w:t>
      </w:r>
      <w:r>
        <w:rPr>
          <w:rFonts w:hint="default" w:ascii="Times New Roman" w:hAnsi="Times New Roman" w:eastAsia="仿宋_GB2312" w:cs="Times New Roman"/>
          <w:color w:val="auto"/>
          <w:sz w:val="32"/>
          <w:szCs w:val="32"/>
          <w:highlight w:val="none"/>
          <w:u w:val="none" w:color="auto"/>
        </w:rPr>
        <w:t>政府战略</w:t>
      </w:r>
      <w:r>
        <w:rPr>
          <w:rFonts w:hint="default" w:ascii="Times New Roman" w:hAnsi="Times New Roman" w:cs="Times New Roman"/>
          <w:color w:val="auto"/>
          <w:sz w:val="32"/>
          <w:szCs w:val="32"/>
          <w:highlight w:val="none"/>
          <w:u w:val="none" w:color="auto"/>
          <w:lang w:val="en-US" w:eastAsia="zh-CN"/>
        </w:rPr>
        <w:t>部署</w:t>
      </w:r>
      <w:r>
        <w:rPr>
          <w:rFonts w:hint="default" w:ascii="Times New Roman" w:hAnsi="Times New Roman" w:eastAsia="仿宋_GB2312" w:cs="Times New Roman"/>
          <w:color w:val="auto"/>
          <w:sz w:val="32"/>
          <w:szCs w:val="32"/>
          <w:highlight w:val="none"/>
          <w:u w:val="none" w:color="auto"/>
        </w:rPr>
        <w:t>，</w:t>
      </w:r>
      <w:r>
        <w:rPr>
          <w:rFonts w:hint="default" w:ascii="Times New Roman" w:hAnsi="Times New Roman" w:eastAsia="仿宋_GB2312" w:cs="Times New Roman"/>
          <w:kern w:val="21"/>
          <w:sz w:val="32"/>
          <w:szCs w:val="32"/>
        </w:rPr>
        <w:t>系统谋划未来五年</w:t>
      </w:r>
      <w:r>
        <w:rPr>
          <w:rFonts w:hint="default" w:ascii="Times New Roman" w:hAnsi="Times New Roman" w:eastAsia="仿宋_GB2312" w:cs="Times New Roman"/>
          <w:kern w:val="21"/>
          <w:sz w:val="32"/>
          <w:szCs w:val="32"/>
          <w:lang w:val="en-US" w:eastAsia="zh-CN"/>
        </w:rPr>
        <w:t>薛城</w:t>
      </w:r>
      <w:r>
        <w:rPr>
          <w:rFonts w:hint="default" w:ascii="Times New Roman" w:hAnsi="Times New Roman" w:eastAsia="仿宋_GB2312" w:cs="Times New Roman"/>
          <w:kern w:val="21"/>
          <w:sz w:val="32"/>
          <w:szCs w:val="32"/>
        </w:rPr>
        <w:t>经济社会发展的主要目标、总体</w:t>
      </w:r>
      <w:r>
        <w:rPr>
          <w:rFonts w:hint="default" w:ascii="Times New Roman" w:hAnsi="Times New Roman" w:cs="Times New Roman"/>
          <w:kern w:val="21"/>
          <w:sz w:val="32"/>
          <w:szCs w:val="32"/>
          <w:lang w:val="en-US" w:eastAsia="zh-CN"/>
        </w:rPr>
        <w:t>战略</w:t>
      </w:r>
      <w:r>
        <w:rPr>
          <w:rFonts w:hint="default" w:ascii="Times New Roman" w:hAnsi="Times New Roman" w:eastAsia="仿宋_GB2312" w:cs="Times New Roman"/>
          <w:kern w:val="21"/>
          <w:sz w:val="32"/>
          <w:szCs w:val="32"/>
        </w:rPr>
        <w:t>和</w:t>
      </w:r>
      <w:r>
        <w:rPr>
          <w:rFonts w:hint="default" w:ascii="Times New Roman" w:hAnsi="Times New Roman" w:cs="Times New Roman"/>
          <w:kern w:val="21"/>
          <w:sz w:val="32"/>
          <w:szCs w:val="32"/>
          <w:lang w:val="en-US" w:eastAsia="zh-CN"/>
        </w:rPr>
        <w:t>重要举措，</w:t>
      </w:r>
      <w:r>
        <w:rPr>
          <w:rFonts w:hint="default" w:ascii="Times New Roman" w:hAnsi="Times New Roman" w:eastAsia="仿宋_GB2312" w:cs="Times New Roman"/>
          <w:color w:val="auto"/>
          <w:sz w:val="32"/>
          <w:szCs w:val="32"/>
          <w:highlight w:val="none"/>
          <w:u w:val="none" w:color="auto"/>
          <w:lang w:val="en-US" w:eastAsia="zh-CN"/>
        </w:rPr>
        <w:t>是</w:t>
      </w:r>
      <w:r>
        <w:rPr>
          <w:rFonts w:hint="default" w:ascii="Times New Roman" w:hAnsi="Times New Roman" w:cs="Times New Roman"/>
          <w:color w:val="auto"/>
          <w:sz w:val="32"/>
          <w:szCs w:val="32"/>
          <w:highlight w:val="none"/>
          <w:u w:val="none" w:color="auto"/>
          <w:lang w:val="en-US" w:eastAsia="zh-CN"/>
        </w:rPr>
        <w:t>统筹推进</w:t>
      </w:r>
      <w:r>
        <w:rPr>
          <w:rFonts w:hint="default" w:ascii="Times New Roman" w:hAnsi="Times New Roman" w:eastAsia="仿宋_GB2312" w:cs="Times New Roman"/>
          <w:color w:val="auto"/>
          <w:sz w:val="32"/>
          <w:szCs w:val="32"/>
          <w:highlight w:val="none"/>
          <w:u w:val="none" w:color="auto"/>
          <w:lang w:val="en-US" w:eastAsia="zh-CN"/>
        </w:rPr>
        <w:t>现代化强</w:t>
      </w:r>
      <w:r>
        <w:rPr>
          <w:rFonts w:hint="default" w:ascii="Times New Roman" w:hAnsi="Times New Roman" w:cs="Times New Roman"/>
          <w:color w:val="auto"/>
          <w:sz w:val="32"/>
          <w:szCs w:val="32"/>
          <w:highlight w:val="none"/>
          <w:u w:val="none" w:color="auto"/>
          <w:lang w:val="en-US" w:eastAsia="zh-CN"/>
        </w:rPr>
        <w:t>区</w:t>
      </w:r>
      <w:r>
        <w:rPr>
          <w:rFonts w:hint="default" w:ascii="Times New Roman" w:hAnsi="Times New Roman" w:eastAsia="仿宋_GB2312" w:cs="Times New Roman"/>
          <w:color w:val="auto"/>
          <w:sz w:val="32"/>
          <w:szCs w:val="32"/>
          <w:highlight w:val="none"/>
          <w:u w:val="none" w:color="auto"/>
          <w:lang w:val="en-US" w:eastAsia="zh-CN"/>
        </w:rPr>
        <w:t>建设的宏伟蓝图，</w:t>
      </w:r>
      <w:r>
        <w:rPr>
          <w:rFonts w:hint="default" w:ascii="Times New Roman" w:hAnsi="Times New Roman" w:eastAsia="仿宋_GB2312" w:cs="Times New Roman"/>
          <w:color w:val="auto"/>
          <w:sz w:val="32"/>
          <w:szCs w:val="32"/>
          <w:highlight w:val="none"/>
          <w:u w:val="none" w:color="auto"/>
        </w:rPr>
        <w:t>是全</w:t>
      </w:r>
      <w:r>
        <w:rPr>
          <w:rFonts w:hint="default" w:ascii="Times New Roman" w:hAnsi="Times New Roman" w:cs="Times New Roman"/>
          <w:color w:val="auto"/>
          <w:sz w:val="32"/>
          <w:szCs w:val="32"/>
          <w:highlight w:val="none"/>
          <w:u w:val="none" w:color="auto"/>
          <w:lang w:val="en-US" w:eastAsia="zh-CN"/>
        </w:rPr>
        <w:t>区</w:t>
      </w:r>
      <w:r>
        <w:rPr>
          <w:rFonts w:hint="default" w:ascii="Times New Roman" w:hAnsi="Times New Roman" w:eastAsia="仿宋_GB2312" w:cs="Times New Roman"/>
          <w:color w:val="auto"/>
          <w:sz w:val="32"/>
          <w:szCs w:val="32"/>
          <w:highlight w:val="none"/>
          <w:u w:val="none" w:color="auto"/>
        </w:rPr>
        <w:t>人民共同的行动纲领。</w:t>
      </w:r>
    </w:p>
    <w:p w14:paraId="0DAFBD72">
      <w:pPr>
        <w:keepNext w:val="0"/>
        <w:keepLines w:val="0"/>
        <w:pageBreakBefore w:val="0"/>
        <w:widowControl w:val="0"/>
        <w:kinsoku/>
        <w:wordWrap/>
        <w:overflowPunct/>
        <w:topLinePunct w:val="0"/>
        <w:autoSpaceDE/>
        <w:autoSpaceDN/>
        <w:bidi w:val="0"/>
        <w:adjustRightInd w:val="0"/>
        <w:snapToGrid w:val="0"/>
        <w:spacing w:before="313" w:beforeLines="100" w:beforeAutospacing="0" w:after="313" w:afterLines="100" w:afterAutospacing="0" w:line="580" w:lineRule="exact"/>
        <w:ind w:firstLine="0" w:firstLineChars="0"/>
        <w:jc w:val="center"/>
        <w:textAlignment w:val="auto"/>
        <w:outlineLvl w:val="0"/>
        <w:rPr>
          <w:rFonts w:hint="eastAsia" w:ascii="黑体" w:hAnsi="黑体" w:eastAsia="黑体" w:cs="黑体"/>
          <w:b w:val="0"/>
          <w:bCs/>
          <w:kern w:val="21"/>
          <w:sz w:val="32"/>
          <w:szCs w:val="32"/>
          <w:lang w:val="en-US" w:eastAsia="zh-CN"/>
        </w:rPr>
      </w:pPr>
      <w:bookmarkStart w:id="0" w:name="_Toc2024787129"/>
      <w:r>
        <w:rPr>
          <w:rFonts w:hint="eastAsia" w:ascii="黑体" w:hAnsi="黑体" w:eastAsia="黑体" w:cs="黑体"/>
          <w:b w:val="0"/>
          <w:bCs/>
          <w:kern w:val="21"/>
          <w:sz w:val="32"/>
          <w:szCs w:val="32"/>
          <w:lang w:val="en-US" w:eastAsia="zh-CN"/>
        </w:rPr>
        <w:t>第一章  立足新起点，开启现代化强区建设新征程</w:t>
      </w:r>
      <w:bookmarkEnd w:id="0"/>
    </w:p>
    <w:p w14:paraId="05B4FF9C">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default" w:ascii="Times New Roman" w:hAnsi="Times New Roman" w:eastAsia="楷体_GB2312" w:cs="Times New Roman"/>
          <w:kern w:val="21"/>
          <w:sz w:val="32"/>
          <w:szCs w:val="32"/>
          <w:highlight w:val="none"/>
          <w:lang w:val="en-US" w:eastAsia="zh-CN"/>
        </w:rPr>
      </w:pPr>
      <w:bookmarkStart w:id="1" w:name="_Toc9026"/>
      <w:bookmarkStart w:id="2" w:name="_Toc27824"/>
      <w:bookmarkStart w:id="3" w:name="_Toc22804"/>
      <w:bookmarkStart w:id="4" w:name="_Toc33215937"/>
      <w:r>
        <w:rPr>
          <w:rFonts w:hint="default" w:ascii="Times New Roman" w:hAnsi="Times New Roman" w:eastAsia="楷体_GB2312" w:cs="Times New Roman"/>
          <w:kern w:val="21"/>
          <w:sz w:val="32"/>
          <w:szCs w:val="32"/>
          <w:highlight w:val="none"/>
          <w:lang w:val="en-US" w:eastAsia="zh-CN"/>
        </w:rPr>
        <w:t>第一节  “十四五”时期取得重要成就</w:t>
      </w:r>
      <w:bookmarkEnd w:id="1"/>
      <w:bookmarkEnd w:id="2"/>
      <w:bookmarkEnd w:id="3"/>
      <w:bookmarkEnd w:id="4"/>
    </w:p>
    <w:p w14:paraId="20B820F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rPr>
      </w:pPr>
      <w:r>
        <w:rPr>
          <w:rFonts w:hint="default" w:ascii="Times New Roman" w:hAnsi="Times New Roman" w:eastAsia="仿宋_GB2312" w:cs="Times New Roman"/>
          <w:kern w:val="21"/>
          <w:sz w:val="32"/>
          <w:szCs w:val="32"/>
        </w:rPr>
        <w:t>“十四五”时期，</w:t>
      </w:r>
      <w:r>
        <w:rPr>
          <w:rFonts w:hint="default" w:ascii="Times New Roman" w:hAnsi="Times New Roman" w:cs="Times New Roman"/>
          <w:kern w:val="21"/>
          <w:sz w:val="32"/>
          <w:szCs w:val="32"/>
          <w:lang w:val="en-US" w:eastAsia="zh-CN"/>
        </w:rPr>
        <w:t>是薛城区历史上极不寻常、极不平凡的五年。</w:t>
      </w:r>
      <w:r>
        <w:rPr>
          <w:rFonts w:hint="default" w:ascii="Times New Roman" w:hAnsi="Times New Roman" w:eastAsia="仿宋_GB2312" w:cs="Times New Roman"/>
          <w:color w:val="auto"/>
          <w:kern w:val="2"/>
          <w:sz w:val="32"/>
          <w:szCs w:val="32"/>
          <w:highlight w:val="none"/>
          <w:u w:val="none" w:color="auto"/>
          <w:lang w:val="en-US" w:eastAsia="zh-CN" w:bidi="ar-SA"/>
        </w:rPr>
        <w:t>在以习近平同志为核心的党中央坚强领导下，在</w:t>
      </w:r>
      <w:r>
        <w:rPr>
          <w:rFonts w:hint="default" w:ascii="Times New Roman" w:hAnsi="Times New Roman" w:cs="Times New Roman"/>
          <w:color w:val="auto"/>
          <w:kern w:val="2"/>
          <w:sz w:val="32"/>
          <w:szCs w:val="32"/>
          <w:highlight w:val="none"/>
          <w:u w:val="none" w:color="auto"/>
          <w:lang w:val="en-US" w:eastAsia="zh-CN" w:bidi="ar-SA"/>
        </w:rPr>
        <w:t>市</w:t>
      </w:r>
      <w:r>
        <w:rPr>
          <w:rFonts w:hint="default" w:ascii="Times New Roman" w:hAnsi="Times New Roman" w:eastAsia="仿宋_GB2312" w:cs="Times New Roman"/>
          <w:color w:val="auto"/>
          <w:kern w:val="2"/>
          <w:sz w:val="32"/>
          <w:szCs w:val="32"/>
          <w:highlight w:val="none"/>
          <w:u w:val="none" w:color="auto"/>
          <w:lang w:val="en-US" w:eastAsia="zh-CN" w:bidi="ar-SA"/>
        </w:rPr>
        <w:t>委、</w:t>
      </w:r>
      <w:r>
        <w:rPr>
          <w:rFonts w:hint="default" w:ascii="Times New Roman" w:hAnsi="Times New Roman" w:cs="Times New Roman"/>
          <w:color w:val="auto"/>
          <w:kern w:val="2"/>
          <w:sz w:val="32"/>
          <w:szCs w:val="32"/>
          <w:highlight w:val="none"/>
          <w:u w:val="none" w:color="auto"/>
          <w:lang w:val="en-US" w:eastAsia="zh-CN" w:bidi="ar-SA"/>
        </w:rPr>
        <w:t>市</w:t>
      </w:r>
      <w:r>
        <w:rPr>
          <w:rFonts w:hint="default" w:ascii="Times New Roman" w:hAnsi="Times New Roman" w:eastAsia="仿宋_GB2312" w:cs="Times New Roman"/>
          <w:color w:val="auto"/>
          <w:kern w:val="2"/>
          <w:sz w:val="32"/>
          <w:szCs w:val="32"/>
          <w:highlight w:val="none"/>
          <w:u w:val="none" w:color="auto"/>
          <w:lang w:val="en-US" w:eastAsia="zh-CN" w:bidi="ar-SA"/>
        </w:rPr>
        <w:t>政府的正确领导下，</w:t>
      </w:r>
      <w:r>
        <w:rPr>
          <w:rFonts w:hint="default" w:ascii="Times New Roman" w:hAnsi="Times New Roman" w:cs="Times New Roman"/>
          <w:kern w:val="21"/>
          <w:sz w:val="32"/>
          <w:szCs w:val="32"/>
          <w:lang w:val="en-US" w:eastAsia="zh-CN"/>
        </w:rPr>
        <w:t>我区</w:t>
      </w:r>
      <w:r>
        <w:rPr>
          <w:rFonts w:hint="default" w:ascii="Times New Roman" w:hAnsi="Times New Roman" w:eastAsia="仿宋_GB2312" w:cs="Times New Roman"/>
          <w:kern w:val="21"/>
          <w:sz w:val="32"/>
          <w:szCs w:val="32"/>
        </w:rPr>
        <w:t>聚焦“打造首善之区、建设品质薛城”，统筹推进稳增长、促改革、调结构、惠民生、防风险、保稳定各项工作，经济社会发展取得</w:t>
      </w:r>
      <w:r>
        <w:rPr>
          <w:rFonts w:hint="default" w:ascii="Times New Roman" w:hAnsi="Times New Roman" w:cs="Times New Roman"/>
          <w:kern w:val="21"/>
          <w:sz w:val="32"/>
          <w:szCs w:val="32"/>
          <w:lang w:val="en-US" w:eastAsia="zh-CN"/>
        </w:rPr>
        <w:t>显著</w:t>
      </w:r>
      <w:r>
        <w:rPr>
          <w:rFonts w:hint="default" w:ascii="Times New Roman" w:hAnsi="Times New Roman" w:eastAsia="仿宋_GB2312" w:cs="Times New Roman"/>
          <w:kern w:val="21"/>
          <w:sz w:val="32"/>
          <w:szCs w:val="32"/>
        </w:rPr>
        <w:t>成就，</w:t>
      </w:r>
      <w:r>
        <w:rPr>
          <w:rFonts w:hint="default" w:ascii="Times New Roman" w:hAnsi="Times New Roman" w:eastAsia="仿宋_GB2312" w:cs="Times New Roman"/>
          <w:kern w:val="21"/>
          <w:sz w:val="32"/>
          <w:szCs w:val="32"/>
          <w:lang w:val="en-US" w:eastAsia="zh-CN"/>
        </w:rPr>
        <w:t>为</w:t>
      </w:r>
      <w:r>
        <w:rPr>
          <w:rFonts w:hint="default" w:ascii="Times New Roman" w:hAnsi="Times New Roman" w:cs="Times New Roman"/>
          <w:kern w:val="21"/>
          <w:sz w:val="32"/>
          <w:szCs w:val="32"/>
          <w:lang w:val="en-US" w:eastAsia="zh-CN"/>
        </w:rPr>
        <w:t>“</w:t>
      </w:r>
      <w:r>
        <w:rPr>
          <w:rFonts w:hint="default" w:ascii="Times New Roman" w:hAnsi="Times New Roman" w:eastAsia="仿宋_GB2312" w:cs="Times New Roman"/>
          <w:kern w:val="21"/>
          <w:sz w:val="32"/>
          <w:szCs w:val="32"/>
          <w:lang w:val="en-US" w:eastAsia="zh-CN"/>
        </w:rPr>
        <w:t>十五五</w:t>
      </w:r>
      <w:r>
        <w:rPr>
          <w:rFonts w:hint="default" w:ascii="Times New Roman" w:hAnsi="Times New Roman" w:cs="Times New Roman"/>
          <w:kern w:val="21"/>
          <w:sz w:val="32"/>
          <w:szCs w:val="32"/>
          <w:lang w:val="en-US" w:eastAsia="zh-CN"/>
        </w:rPr>
        <w:t>”</w:t>
      </w:r>
      <w:r>
        <w:rPr>
          <w:rFonts w:hint="default" w:ascii="Times New Roman" w:hAnsi="Times New Roman" w:eastAsia="仿宋_GB2312" w:cs="Times New Roman"/>
          <w:kern w:val="21"/>
          <w:sz w:val="32"/>
          <w:szCs w:val="32"/>
          <w:lang w:val="en-US" w:eastAsia="zh-CN"/>
        </w:rPr>
        <w:t>规划</w:t>
      </w:r>
      <w:r>
        <w:rPr>
          <w:rFonts w:hint="default" w:ascii="Times New Roman" w:hAnsi="Times New Roman" w:cs="Times New Roman"/>
          <w:kern w:val="21"/>
          <w:sz w:val="32"/>
          <w:szCs w:val="32"/>
          <w:lang w:val="en-US" w:eastAsia="zh-CN"/>
        </w:rPr>
        <w:t>实施</w:t>
      </w:r>
      <w:r>
        <w:rPr>
          <w:rFonts w:hint="default" w:ascii="Times New Roman" w:hAnsi="Times New Roman" w:eastAsia="仿宋_GB2312" w:cs="Times New Roman"/>
          <w:kern w:val="21"/>
          <w:sz w:val="32"/>
          <w:szCs w:val="32"/>
        </w:rPr>
        <w:t>筑牢坚实根基。</w:t>
      </w:r>
    </w:p>
    <w:p w14:paraId="49D64DE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color w:val="000000"/>
          <w:sz w:val="32"/>
          <w:szCs w:val="32"/>
          <w:highlight w:val="none"/>
          <w:u w:val="none"/>
        </w:rPr>
      </w:pPr>
      <w:r>
        <w:rPr>
          <w:rFonts w:hint="eastAsia" w:ascii="楷体_GB2312" w:hAnsi="楷体_GB2312" w:eastAsia="楷体_GB2312" w:cs="楷体_GB2312"/>
          <w:kern w:val="21"/>
          <w:sz w:val="32"/>
          <w:szCs w:val="32"/>
          <w:highlight w:val="none"/>
        </w:rPr>
        <w:t>综合实力稳步提升</w:t>
      </w:r>
      <w:r>
        <w:rPr>
          <w:rFonts w:hint="eastAsia" w:ascii="楷体_GB2312" w:hAnsi="楷体_GB2312" w:eastAsia="楷体_GB2312" w:cs="楷体_GB2312"/>
          <w:kern w:val="21"/>
          <w:sz w:val="32"/>
          <w:szCs w:val="32"/>
          <w:highlight w:val="none"/>
          <w:lang w:val="en-US" w:eastAsia="zh-CN"/>
        </w:rPr>
        <w:t>。</w:t>
      </w:r>
      <w:r>
        <w:rPr>
          <w:rFonts w:hint="default" w:ascii="Times New Roman" w:hAnsi="Times New Roman" w:eastAsia="仿宋_GB2312" w:cs="Times New Roman"/>
          <w:b/>
          <w:bCs/>
          <w:kern w:val="21"/>
          <w:sz w:val="32"/>
          <w:szCs w:val="32"/>
          <w:highlight w:val="none"/>
        </w:rPr>
        <w:t>经济规模</w:t>
      </w:r>
      <w:r>
        <w:rPr>
          <w:rFonts w:hint="default" w:ascii="Times New Roman" w:hAnsi="Times New Roman" w:cs="Times New Roman"/>
          <w:b/>
          <w:bCs/>
          <w:kern w:val="21"/>
          <w:sz w:val="32"/>
          <w:szCs w:val="32"/>
          <w:highlight w:val="none"/>
          <w:lang w:val="en-US" w:eastAsia="zh-CN"/>
        </w:rPr>
        <w:t>持续壮大</w:t>
      </w:r>
      <w:r>
        <w:rPr>
          <w:rFonts w:hint="default" w:ascii="Times New Roman" w:hAnsi="Times New Roman" w:eastAsia="仿宋_GB2312" w:cs="Times New Roman"/>
          <w:b/>
          <w:bCs/>
          <w:kern w:val="21"/>
          <w:sz w:val="32"/>
          <w:szCs w:val="32"/>
          <w:highlight w:val="none"/>
        </w:rPr>
        <w:t>。</w:t>
      </w:r>
      <w:r>
        <w:rPr>
          <w:rFonts w:hint="default" w:ascii="Times New Roman" w:hAnsi="Times New Roman" w:eastAsia="仿宋_GB2312" w:cs="Times New Roman"/>
          <w:kern w:val="21"/>
          <w:sz w:val="32"/>
          <w:szCs w:val="32"/>
          <w:highlight w:val="none"/>
        </w:rPr>
        <w:t>2025年，全区</w:t>
      </w:r>
      <w:r>
        <w:rPr>
          <w:rFonts w:hint="eastAsia" w:ascii="Times New Roman" w:hAnsi="Times New Roman" w:cs="Times New Roman"/>
          <w:kern w:val="21"/>
          <w:sz w:val="32"/>
          <w:szCs w:val="32"/>
          <w:highlight w:val="none"/>
          <w:lang w:val="en-US" w:eastAsia="zh-CN"/>
        </w:rPr>
        <w:t>实现</w:t>
      </w:r>
      <w:r>
        <w:rPr>
          <w:rFonts w:hint="default" w:ascii="Times New Roman" w:hAnsi="Times New Roman" w:eastAsia="仿宋_GB2312" w:cs="Times New Roman"/>
          <w:kern w:val="21"/>
          <w:sz w:val="32"/>
          <w:szCs w:val="32"/>
          <w:highlight w:val="none"/>
        </w:rPr>
        <w:t>地区生产总值</w:t>
      </w:r>
      <w:r>
        <w:rPr>
          <w:rFonts w:hint="default" w:ascii="Times New Roman" w:hAnsi="Times New Roman" w:cs="Times New Roman"/>
          <w:kern w:val="21"/>
          <w:sz w:val="32"/>
          <w:szCs w:val="32"/>
          <w:highlight w:val="none"/>
          <w:lang w:val="en-US" w:eastAsia="zh-CN"/>
        </w:rPr>
        <w:t>344.8</w:t>
      </w:r>
      <w:r>
        <w:rPr>
          <w:rFonts w:hint="default" w:ascii="Times New Roman" w:hAnsi="Times New Roman" w:eastAsia="仿宋_GB2312" w:cs="Times New Roman"/>
          <w:kern w:val="21"/>
          <w:sz w:val="32"/>
          <w:szCs w:val="32"/>
          <w:highlight w:val="none"/>
        </w:rPr>
        <w:t>亿元</w:t>
      </w:r>
      <w:r>
        <w:rPr>
          <w:rFonts w:hint="default" w:ascii="Times New Roman" w:hAnsi="Times New Roman" w:cs="Times New Roman"/>
          <w:kern w:val="21"/>
          <w:sz w:val="32"/>
          <w:szCs w:val="32"/>
          <w:highlight w:val="none"/>
          <w:lang w:eastAsia="zh-CN"/>
        </w:rPr>
        <w:t>，</w:t>
      </w:r>
      <w:r>
        <w:rPr>
          <w:rFonts w:hint="default" w:ascii="Times New Roman" w:hAnsi="Times New Roman" w:eastAsia="仿宋_GB2312" w:cs="Times New Roman"/>
          <w:color w:val="auto"/>
          <w:sz w:val="32"/>
          <w:szCs w:val="32"/>
          <w:highlight w:val="none"/>
          <w:u w:val="none" w:color="auto"/>
        </w:rPr>
        <w:t>是</w:t>
      </w:r>
      <w:r>
        <w:rPr>
          <w:rFonts w:hint="default" w:ascii="Times New Roman" w:hAnsi="Times New Roman" w:eastAsia="仿宋_GB2312" w:cs="Times New Roman"/>
          <w:color w:val="auto"/>
          <w:sz w:val="32"/>
          <w:szCs w:val="32"/>
          <w:highlight w:val="none"/>
          <w:u w:val="none" w:color="auto"/>
          <w:lang w:val="en-US" w:eastAsia="zh-CN"/>
        </w:rPr>
        <w:t>2020年</w:t>
      </w:r>
      <w:r>
        <w:rPr>
          <w:rFonts w:hint="default" w:ascii="Times New Roman" w:hAnsi="Times New Roman" w:eastAsia="仿宋_GB2312" w:cs="Times New Roman"/>
          <w:color w:val="auto"/>
          <w:sz w:val="32"/>
          <w:szCs w:val="32"/>
          <w:highlight w:val="none"/>
          <w:u w:val="none" w:color="auto"/>
        </w:rPr>
        <w:t>的</w:t>
      </w:r>
      <w:r>
        <w:rPr>
          <w:rFonts w:hint="default" w:ascii="Times New Roman" w:hAnsi="Times New Roman" w:eastAsia="仿宋_GB2312" w:cs="Times New Roman"/>
          <w:color w:val="auto"/>
          <w:sz w:val="32"/>
          <w:szCs w:val="32"/>
          <w:highlight w:val="none"/>
          <w:u w:val="none" w:color="auto"/>
          <w:lang w:val="en-US" w:eastAsia="zh-CN"/>
        </w:rPr>
        <w:t>1.</w:t>
      </w:r>
      <w:r>
        <w:rPr>
          <w:rFonts w:hint="default" w:ascii="Times New Roman" w:hAnsi="Times New Roman" w:cs="Times New Roman"/>
          <w:color w:val="auto"/>
          <w:sz w:val="32"/>
          <w:szCs w:val="32"/>
          <w:highlight w:val="none"/>
          <w:u w:val="none" w:color="auto"/>
          <w:lang w:val="en-US" w:eastAsia="zh-CN"/>
        </w:rPr>
        <w:t>36</w:t>
      </w:r>
      <w:r>
        <w:rPr>
          <w:rFonts w:hint="default" w:ascii="Times New Roman" w:hAnsi="Times New Roman" w:eastAsia="仿宋_GB2312" w:cs="Times New Roman"/>
          <w:color w:val="auto"/>
          <w:sz w:val="32"/>
          <w:szCs w:val="32"/>
          <w:highlight w:val="none"/>
          <w:u w:val="none" w:color="auto"/>
        </w:rPr>
        <w:t>倍</w:t>
      </w:r>
      <w:r>
        <w:rPr>
          <w:rFonts w:hint="default" w:ascii="Times New Roman" w:hAnsi="Times New Roman" w:cs="Times New Roman"/>
          <w:color w:val="auto"/>
          <w:sz w:val="32"/>
          <w:szCs w:val="32"/>
          <w:highlight w:val="none"/>
          <w:u w:val="none" w:color="auto"/>
          <w:lang w:eastAsia="zh-CN"/>
        </w:rPr>
        <w:t>；</w:t>
      </w:r>
      <w:r>
        <w:rPr>
          <w:rFonts w:hint="default" w:ascii="Times New Roman" w:hAnsi="Times New Roman" w:eastAsia="仿宋_GB2312" w:cs="Times New Roman"/>
          <w:kern w:val="21"/>
          <w:sz w:val="32"/>
          <w:szCs w:val="32"/>
          <w:highlight w:val="none"/>
        </w:rPr>
        <w:t>一般公共预算收入</w:t>
      </w:r>
      <w:r>
        <w:rPr>
          <w:rFonts w:hint="default" w:ascii="Times New Roman" w:hAnsi="Times New Roman" w:cs="Times New Roman"/>
          <w:kern w:val="21"/>
          <w:sz w:val="32"/>
          <w:szCs w:val="32"/>
          <w:highlight w:val="none"/>
          <w:lang w:val="en-US" w:eastAsia="zh-CN"/>
        </w:rPr>
        <w:t>完成28.9</w:t>
      </w:r>
      <w:r>
        <w:rPr>
          <w:rFonts w:hint="default" w:ascii="Times New Roman" w:hAnsi="Times New Roman" w:eastAsia="仿宋_GB2312" w:cs="Times New Roman"/>
          <w:kern w:val="21"/>
          <w:sz w:val="32"/>
          <w:szCs w:val="32"/>
          <w:highlight w:val="none"/>
        </w:rPr>
        <w:t>亿元</w:t>
      </w:r>
      <w:r>
        <w:rPr>
          <w:rFonts w:hint="default" w:ascii="Times New Roman" w:hAnsi="Times New Roman" w:cs="Times New Roman"/>
          <w:kern w:val="21"/>
          <w:sz w:val="32"/>
          <w:szCs w:val="32"/>
          <w:highlight w:val="none"/>
          <w:lang w:eastAsia="zh-CN"/>
        </w:rPr>
        <w:t>，</w:t>
      </w:r>
      <w:r>
        <w:rPr>
          <w:rFonts w:hint="default" w:ascii="Times New Roman" w:hAnsi="Times New Roman" w:eastAsia="仿宋_GB2312" w:cs="Times New Roman"/>
          <w:color w:val="auto"/>
          <w:sz w:val="32"/>
          <w:szCs w:val="32"/>
          <w:highlight w:val="none"/>
          <w:u w:val="none" w:color="auto"/>
        </w:rPr>
        <w:t>是</w:t>
      </w:r>
      <w:r>
        <w:rPr>
          <w:rFonts w:hint="default" w:ascii="Times New Roman" w:hAnsi="Times New Roman" w:eastAsia="仿宋_GB2312" w:cs="Times New Roman"/>
          <w:color w:val="auto"/>
          <w:sz w:val="32"/>
          <w:szCs w:val="32"/>
          <w:highlight w:val="none"/>
          <w:u w:val="none" w:color="auto"/>
          <w:lang w:val="en-US" w:eastAsia="zh-CN"/>
        </w:rPr>
        <w:t>2020年</w:t>
      </w:r>
      <w:r>
        <w:rPr>
          <w:rFonts w:hint="default" w:ascii="Times New Roman" w:hAnsi="Times New Roman" w:eastAsia="仿宋_GB2312" w:cs="Times New Roman"/>
          <w:color w:val="auto"/>
          <w:sz w:val="32"/>
          <w:szCs w:val="32"/>
          <w:highlight w:val="none"/>
          <w:u w:val="none" w:color="auto"/>
        </w:rPr>
        <w:t>的</w:t>
      </w:r>
      <w:r>
        <w:rPr>
          <w:rFonts w:hint="default" w:ascii="Times New Roman" w:hAnsi="Times New Roman" w:eastAsia="仿宋_GB2312" w:cs="Times New Roman"/>
          <w:color w:val="auto"/>
          <w:sz w:val="32"/>
          <w:szCs w:val="32"/>
          <w:highlight w:val="none"/>
          <w:u w:val="none" w:color="auto"/>
          <w:lang w:val="en-US" w:eastAsia="zh-CN"/>
        </w:rPr>
        <w:t>1.</w:t>
      </w:r>
      <w:r>
        <w:rPr>
          <w:rFonts w:hint="default" w:ascii="Times New Roman" w:hAnsi="Times New Roman" w:cs="Times New Roman"/>
          <w:color w:val="auto"/>
          <w:sz w:val="32"/>
          <w:szCs w:val="32"/>
          <w:highlight w:val="none"/>
          <w:u w:val="none" w:color="auto"/>
          <w:lang w:val="en-US" w:eastAsia="zh-CN"/>
        </w:rPr>
        <w:t>8</w:t>
      </w:r>
      <w:r>
        <w:rPr>
          <w:rFonts w:hint="default" w:ascii="Times New Roman" w:hAnsi="Times New Roman" w:eastAsia="仿宋_GB2312" w:cs="Times New Roman"/>
          <w:color w:val="auto"/>
          <w:sz w:val="32"/>
          <w:szCs w:val="32"/>
          <w:highlight w:val="none"/>
          <w:u w:val="none" w:color="auto"/>
        </w:rPr>
        <w:t>倍</w:t>
      </w:r>
      <w:r>
        <w:rPr>
          <w:rFonts w:hint="default" w:ascii="Times New Roman" w:hAnsi="Times New Roman" w:cs="Times New Roman"/>
          <w:color w:val="auto"/>
          <w:sz w:val="32"/>
          <w:szCs w:val="32"/>
          <w:highlight w:val="none"/>
          <w:u w:val="none" w:color="auto"/>
          <w:lang w:eastAsia="zh-CN"/>
        </w:rPr>
        <w:t>；</w:t>
      </w:r>
      <w:r>
        <w:rPr>
          <w:rFonts w:hint="default" w:ascii="Times New Roman" w:hAnsi="Times New Roman" w:eastAsia="仿宋_GB2312" w:cs="Times New Roman"/>
          <w:kern w:val="21"/>
          <w:sz w:val="32"/>
          <w:szCs w:val="32"/>
          <w:highlight w:val="none"/>
        </w:rPr>
        <w:t>固定资产投资</w:t>
      </w:r>
      <w:r>
        <w:rPr>
          <w:rFonts w:hint="eastAsia" w:ascii="Times New Roman" w:hAnsi="Times New Roman" w:cs="Times New Roman"/>
          <w:kern w:val="21"/>
          <w:sz w:val="32"/>
          <w:szCs w:val="32"/>
          <w:highlight w:val="none"/>
          <w:lang w:eastAsia="zh-CN"/>
        </w:rPr>
        <w:t>、</w:t>
      </w:r>
      <w:r>
        <w:rPr>
          <w:rFonts w:hint="default" w:ascii="Times New Roman" w:hAnsi="Times New Roman" w:cs="Times New Roman"/>
          <w:kern w:val="21"/>
          <w:sz w:val="32"/>
          <w:szCs w:val="32"/>
          <w:highlight w:val="none"/>
          <w:lang w:val="en-US" w:eastAsia="zh-CN"/>
        </w:rPr>
        <w:t>社会消费品零售总额分别达到177亿元、164.5亿元，</w:t>
      </w:r>
      <w:r>
        <w:rPr>
          <w:rFonts w:hint="default" w:ascii="Times New Roman" w:hAnsi="Times New Roman" w:eastAsia="仿宋_GB2312" w:cs="Times New Roman"/>
          <w:color w:val="auto"/>
          <w:sz w:val="32"/>
          <w:szCs w:val="32"/>
          <w:highlight w:val="none"/>
          <w:u w:val="none" w:color="auto"/>
        </w:rPr>
        <w:t>年均</w:t>
      </w:r>
      <w:r>
        <w:rPr>
          <w:rFonts w:hint="default" w:ascii="Times New Roman" w:hAnsi="Times New Roman" w:eastAsia="仿宋_GB2312" w:cs="Times New Roman"/>
          <w:color w:val="auto"/>
          <w:sz w:val="32"/>
          <w:szCs w:val="32"/>
          <w:highlight w:val="none"/>
          <w:u w:val="none" w:color="auto"/>
          <w:lang w:eastAsia="zh-CN"/>
        </w:rPr>
        <w:t>分别</w:t>
      </w:r>
      <w:r>
        <w:rPr>
          <w:rFonts w:hint="default" w:ascii="Times New Roman" w:hAnsi="Times New Roman" w:eastAsia="仿宋_GB2312" w:cs="Times New Roman"/>
          <w:color w:val="auto"/>
          <w:sz w:val="32"/>
          <w:szCs w:val="32"/>
          <w:highlight w:val="none"/>
          <w:u w:val="none" w:color="auto"/>
        </w:rPr>
        <w:t>增长</w:t>
      </w:r>
      <w:r>
        <w:rPr>
          <w:rFonts w:hint="default" w:ascii="Times New Roman" w:hAnsi="Times New Roman" w:cs="Times New Roman"/>
          <w:color w:val="auto"/>
          <w:sz w:val="32"/>
          <w:szCs w:val="32"/>
          <w:highlight w:val="none"/>
          <w:u w:val="none" w:color="auto"/>
          <w:lang w:val="en-US" w:eastAsia="zh-CN"/>
        </w:rPr>
        <w:t>9.4%、9.35%</w:t>
      </w:r>
      <w:r>
        <w:rPr>
          <w:rFonts w:hint="default" w:ascii="Times New Roman" w:hAnsi="Times New Roman" w:cs="Times New Roman"/>
          <w:kern w:val="21"/>
          <w:sz w:val="32"/>
          <w:szCs w:val="32"/>
          <w:highlight w:val="none"/>
          <w:lang w:eastAsia="zh-CN"/>
        </w:rPr>
        <w:t>。</w:t>
      </w:r>
      <w:r>
        <w:rPr>
          <w:rFonts w:hint="default" w:ascii="Times New Roman" w:hAnsi="Times New Roman" w:eastAsia="仿宋_GB2312" w:cs="Times New Roman"/>
          <w:snapToGrid w:val="0"/>
          <w:color w:val="auto"/>
          <w:kern w:val="0"/>
          <w:sz w:val="32"/>
          <w:szCs w:val="32"/>
          <w:highlight w:val="none"/>
          <w:u w:val="none" w:color="auto"/>
          <w:lang w:val="en-US" w:eastAsia="zh-CN"/>
        </w:rPr>
        <w:t>重大项目建设支撑有力，五年累计实施重大产业类、重大基础设施类、重大民生保障类省市</w:t>
      </w:r>
      <w:r>
        <w:rPr>
          <w:rFonts w:hint="default" w:ascii="Times New Roman" w:hAnsi="Times New Roman" w:cs="Times New Roman"/>
          <w:snapToGrid w:val="0"/>
          <w:color w:val="auto"/>
          <w:kern w:val="0"/>
          <w:sz w:val="32"/>
          <w:szCs w:val="32"/>
          <w:highlight w:val="none"/>
          <w:u w:val="none" w:color="auto"/>
          <w:lang w:val="en-US" w:eastAsia="zh-CN"/>
        </w:rPr>
        <w:t>区</w:t>
      </w:r>
      <w:r>
        <w:rPr>
          <w:rFonts w:hint="default" w:ascii="Times New Roman" w:hAnsi="Times New Roman" w:eastAsia="仿宋_GB2312" w:cs="Times New Roman"/>
          <w:snapToGrid w:val="0"/>
          <w:color w:val="auto"/>
          <w:kern w:val="0"/>
          <w:sz w:val="32"/>
          <w:szCs w:val="32"/>
          <w:highlight w:val="none"/>
          <w:u w:val="none" w:color="auto"/>
          <w:lang w:val="en-US" w:eastAsia="zh-CN"/>
        </w:rPr>
        <w:t>级重点项目</w:t>
      </w:r>
      <w:r>
        <w:rPr>
          <w:rFonts w:hint="default" w:ascii="Times New Roman" w:hAnsi="Times New Roman" w:cs="Times New Roman"/>
          <w:snapToGrid w:val="0"/>
          <w:color w:val="auto"/>
          <w:kern w:val="0"/>
          <w:sz w:val="32"/>
          <w:szCs w:val="32"/>
          <w:highlight w:val="none"/>
          <w:u w:val="none" w:color="auto"/>
          <w:lang w:val="en-US" w:eastAsia="zh-CN"/>
        </w:rPr>
        <w:t>266</w:t>
      </w:r>
      <w:r>
        <w:rPr>
          <w:rFonts w:hint="default" w:ascii="Times New Roman" w:hAnsi="Times New Roman" w:eastAsia="仿宋_GB2312" w:cs="Times New Roman"/>
          <w:snapToGrid w:val="0"/>
          <w:color w:val="auto"/>
          <w:kern w:val="0"/>
          <w:sz w:val="32"/>
          <w:szCs w:val="32"/>
          <w:highlight w:val="none"/>
          <w:u w:val="none" w:color="auto"/>
          <w:lang w:val="en-US" w:eastAsia="zh-CN"/>
        </w:rPr>
        <w:t>个，完成投资</w:t>
      </w:r>
      <w:r>
        <w:rPr>
          <w:rFonts w:hint="default" w:ascii="Times New Roman" w:hAnsi="Times New Roman" w:cs="Times New Roman"/>
          <w:b w:val="0"/>
          <w:bCs w:val="0"/>
          <w:snapToGrid w:val="0"/>
          <w:color w:val="auto"/>
          <w:kern w:val="0"/>
          <w:sz w:val="32"/>
          <w:szCs w:val="32"/>
          <w:highlight w:val="none"/>
          <w:u w:val="none" w:color="auto"/>
          <w:lang w:val="en-US" w:eastAsia="zh-CN"/>
        </w:rPr>
        <w:t>590</w:t>
      </w:r>
      <w:r>
        <w:rPr>
          <w:rFonts w:hint="default" w:ascii="Times New Roman" w:hAnsi="Times New Roman" w:eastAsia="仿宋_GB2312" w:cs="Times New Roman"/>
          <w:snapToGrid w:val="0"/>
          <w:color w:val="auto"/>
          <w:kern w:val="0"/>
          <w:sz w:val="32"/>
          <w:szCs w:val="32"/>
          <w:highlight w:val="none"/>
          <w:u w:val="none" w:color="auto"/>
          <w:lang w:val="en-US" w:eastAsia="zh-CN"/>
        </w:rPr>
        <w:t>亿元。</w:t>
      </w:r>
      <w:r>
        <w:rPr>
          <w:rFonts w:hint="default" w:ascii="Times New Roman" w:hAnsi="Times New Roman" w:eastAsia="仿宋_GB2312" w:cs="Times New Roman"/>
          <w:b/>
          <w:bCs/>
          <w:kern w:val="21"/>
          <w:sz w:val="32"/>
          <w:szCs w:val="32"/>
          <w:highlight w:val="none"/>
        </w:rPr>
        <w:t>市场主体</w:t>
      </w:r>
      <w:r>
        <w:rPr>
          <w:rFonts w:hint="default" w:ascii="Times New Roman" w:hAnsi="Times New Roman" w:cs="Times New Roman"/>
          <w:b/>
          <w:bCs/>
          <w:kern w:val="21"/>
          <w:sz w:val="32"/>
          <w:szCs w:val="32"/>
          <w:highlight w:val="none"/>
          <w:lang w:val="en-US" w:eastAsia="zh-CN"/>
        </w:rPr>
        <w:t>活力迸发</w:t>
      </w:r>
      <w:r>
        <w:rPr>
          <w:rFonts w:hint="default" w:ascii="Times New Roman" w:hAnsi="Times New Roman" w:eastAsia="仿宋_GB2312" w:cs="Times New Roman"/>
          <w:b/>
          <w:bCs/>
          <w:kern w:val="21"/>
          <w:sz w:val="32"/>
          <w:szCs w:val="32"/>
          <w:highlight w:val="none"/>
        </w:rPr>
        <w:t>。</w:t>
      </w:r>
      <w:r>
        <w:rPr>
          <w:rFonts w:hint="default" w:ascii="Times New Roman" w:hAnsi="Times New Roman" w:eastAsia="仿宋_GB2312" w:cs="Times New Roman"/>
          <w:kern w:val="21"/>
          <w:sz w:val="32"/>
          <w:szCs w:val="32"/>
          <w:highlight w:val="none"/>
        </w:rPr>
        <w:t>“十四五”时期，累计新登记市场主体</w:t>
      </w:r>
      <w:r>
        <w:rPr>
          <w:rFonts w:hint="default" w:ascii="Times New Roman" w:hAnsi="Times New Roman" w:cs="Times New Roman"/>
          <w:kern w:val="21"/>
          <w:sz w:val="32"/>
          <w:szCs w:val="32"/>
          <w:highlight w:val="none"/>
          <w:lang w:val="en-US" w:eastAsia="zh-CN"/>
        </w:rPr>
        <w:t>5.06</w:t>
      </w:r>
      <w:r>
        <w:rPr>
          <w:rFonts w:hint="default" w:ascii="Times New Roman" w:hAnsi="Times New Roman" w:eastAsia="仿宋_GB2312" w:cs="Times New Roman"/>
          <w:kern w:val="21"/>
          <w:sz w:val="32"/>
          <w:szCs w:val="32"/>
          <w:highlight w:val="none"/>
        </w:rPr>
        <w:t>万户，</w:t>
      </w:r>
      <w:r>
        <w:rPr>
          <w:rFonts w:hint="default" w:ascii="Times New Roman" w:hAnsi="Times New Roman" w:cs="Times New Roman"/>
          <w:kern w:val="21"/>
          <w:sz w:val="32"/>
          <w:szCs w:val="32"/>
          <w:highlight w:val="none"/>
          <w:lang w:val="en-US" w:eastAsia="zh-CN"/>
        </w:rPr>
        <w:t>总数达到6.35万户；</w:t>
      </w:r>
      <w:r>
        <w:rPr>
          <w:rFonts w:hint="default" w:ascii="Times New Roman" w:hAnsi="Times New Roman" w:eastAsia="仿宋_GB2312" w:cs="Times New Roman"/>
          <w:kern w:val="21"/>
          <w:sz w:val="32"/>
          <w:szCs w:val="32"/>
          <w:highlight w:val="none"/>
        </w:rPr>
        <w:t>“四上”企业</w:t>
      </w:r>
      <w:r>
        <w:rPr>
          <w:rFonts w:hint="default" w:ascii="Times New Roman" w:hAnsi="Times New Roman" w:cs="Times New Roman"/>
          <w:kern w:val="21"/>
          <w:sz w:val="32"/>
          <w:szCs w:val="32"/>
          <w:highlight w:val="none"/>
          <w:lang w:val="en-US" w:eastAsia="zh-CN"/>
        </w:rPr>
        <w:t>增至</w:t>
      </w:r>
      <w:r>
        <w:rPr>
          <w:rFonts w:hint="eastAsia" w:ascii="Times New Roman" w:hAnsi="Times New Roman" w:cs="Times New Roman"/>
          <w:kern w:val="21"/>
          <w:sz w:val="32"/>
          <w:szCs w:val="32"/>
          <w:highlight w:val="none"/>
          <w:lang w:val="en-US" w:eastAsia="zh-CN"/>
        </w:rPr>
        <w:t>714</w:t>
      </w:r>
      <w:r>
        <w:rPr>
          <w:rFonts w:hint="default" w:ascii="Times New Roman" w:hAnsi="Times New Roman" w:eastAsia="仿宋_GB2312" w:cs="Times New Roman"/>
          <w:kern w:val="21"/>
          <w:sz w:val="32"/>
          <w:szCs w:val="32"/>
          <w:highlight w:val="none"/>
        </w:rPr>
        <w:t>家</w:t>
      </w:r>
      <w:r>
        <w:rPr>
          <w:rFonts w:hint="default" w:ascii="Times New Roman" w:hAnsi="Times New Roman" w:cs="Times New Roman"/>
          <w:kern w:val="21"/>
          <w:sz w:val="32"/>
          <w:szCs w:val="32"/>
          <w:highlight w:val="none"/>
          <w:lang w:eastAsia="zh-CN"/>
        </w:rPr>
        <w:t>，</w:t>
      </w:r>
      <w:r>
        <w:rPr>
          <w:rFonts w:hint="default" w:ascii="Times New Roman" w:hAnsi="Times New Roman" w:eastAsia="仿宋_GB2312" w:cs="Times New Roman"/>
          <w:kern w:val="21"/>
          <w:sz w:val="32"/>
          <w:szCs w:val="32"/>
          <w:highlight w:val="none"/>
        </w:rPr>
        <w:t>较2020年净增</w:t>
      </w:r>
      <w:r>
        <w:rPr>
          <w:rFonts w:hint="default" w:ascii="Times New Roman" w:hAnsi="Times New Roman" w:cs="Times New Roman"/>
          <w:kern w:val="21"/>
          <w:sz w:val="32"/>
          <w:szCs w:val="32"/>
          <w:highlight w:val="none"/>
          <w:lang w:val="en-US" w:eastAsia="zh-CN"/>
        </w:rPr>
        <w:t>4</w:t>
      </w:r>
      <w:r>
        <w:rPr>
          <w:rFonts w:hint="eastAsia" w:ascii="Times New Roman" w:hAnsi="Times New Roman" w:cs="Times New Roman"/>
          <w:kern w:val="21"/>
          <w:sz w:val="32"/>
          <w:szCs w:val="32"/>
          <w:highlight w:val="none"/>
          <w:lang w:val="en-US" w:eastAsia="zh-CN"/>
        </w:rPr>
        <w:t>4</w:t>
      </w:r>
      <w:r>
        <w:rPr>
          <w:rFonts w:hint="default" w:ascii="Times New Roman" w:hAnsi="Times New Roman" w:cs="Times New Roman"/>
          <w:kern w:val="21"/>
          <w:sz w:val="32"/>
          <w:szCs w:val="32"/>
          <w:highlight w:val="none"/>
          <w:lang w:val="en-US" w:eastAsia="zh-CN"/>
        </w:rPr>
        <w:t>3</w:t>
      </w:r>
      <w:r>
        <w:rPr>
          <w:rFonts w:hint="default" w:ascii="Times New Roman" w:hAnsi="Times New Roman" w:eastAsia="仿宋_GB2312" w:cs="Times New Roman"/>
          <w:kern w:val="21"/>
          <w:sz w:val="32"/>
          <w:szCs w:val="32"/>
          <w:highlight w:val="none"/>
        </w:rPr>
        <w:t>家</w:t>
      </w:r>
      <w:r>
        <w:rPr>
          <w:rFonts w:hint="default" w:ascii="Times New Roman" w:hAnsi="Times New Roman" w:cs="Times New Roman"/>
          <w:kern w:val="21"/>
          <w:sz w:val="32"/>
          <w:szCs w:val="32"/>
          <w:highlight w:val="none"/>
          <w:lang w:eastAsia="zh-CN"/>
        </w:rPr>
        <w:t>；</w:t>
      </w:r>
      <w:r>
        <w:rPr>
          <w:rFonts w:hint="default" w:ascii="Times New Roman" w:hAnsi="Times New Roman" w:eastAsia="仿宋_GB2312" w:cs="Times New Roman"/>
          <w:kern w:val="21"/>
          <w:sz w:val="32"/>
          <w:szCs w:val="32"/>
          <w:highlight w:val="none"/>
        </w:rPr>
        <w:t>培育营收过百亿元企业2家、过十亿元企业</w:t>
      </w:r>
      <w:r>
        <w:rPr>
          <w:rFonts w:hint="default" w:ascii="Times New Roman" w:hAnsi="Times New Roman" w:cs="Times New Roman"/>
          <w:kern w:val="21"/>
          <w:sz w:val="32"/>
          <w:szCs w:val="32"/>
          <w:highlight w:val="none"/>
          <w:lang w:val="en-US" w:eastAsia="zh-CN"/>
        </w:rPr>
        <w:t>7</w:t>
      </w:r>
      <w:r>
        <w:rPr>
          <w:rFonts w:hint="default" w:ascii="Times New Roman" w:hAnsi="Times New Roman" w:eastAsia="仿宋_GB2312" w:cs="Times New Roman"/>
          <w:kern w:val="21"/>
          <w:sz w:val="32"/>
          <w:szCs w:val="32"/>
          <w:highlight w:val="none"/>
        </w:rPr>
        <w:t>家</w:t>
      </w:r>
      <w:r>
        <w:rPr>
          <w:rFonts w:hint="default" w:ascii="Times New Roman" w:hAnsi="Times New Roman" w:cs="Times New Roman"/>
          <w:kern w:val="21"/>
          <w:sz w:val="32"/>
          <w:szCs w:val="32"/>
          <w:highlight w:val="none"/>
          <w:lang w:eastAsia="zh-CN"/>
        </w:rPr>
        <w:t>。</w:t>
      </w:r>
      <w:r>
        <w:rPr>
          <w:rFonts w:hint="default" w:ascii="Times New Roman" w:hAnsi="Times New Roman" w:cs="Times New Roman"/>
          <w:b w:val="0"/>
          <w:bCs w:val="0"/>
          <w:kern w:val="21"/>
          <w:sz w:val="32"/>
          <w:szCs w:val="32"/>
          <w:highlight w:val="none"/>
          <w:lang w:val="en-US" w:eastAsia="zh-CN"/>
        </w:rPr>
        <w:t>国家高新技术企业由2020年的24家发展到59家，高新技术产业产值占工业总产值比重达38.8%。</w:t>
      </w:r>
      <w:r>
        <w:rPr>
          <w:rFonts w:hint="default" w:ascii="Times New Roman" w:hAnsi="Times New Roman" w:eastAsia="仿宋_GB2312" w:cs="Times New Roman"/>
          <w:b/>
          <w:bCs/>
          <w:kern w:val="21"/>
          <w:sz w:val="32"/>
          <w:szCs w:val="32"/>
          <w:highlight w:val="none"/>
        </w:rPr>
        <w:t>发展能级显著提升</w:t>
      </w:r>
      <w:r>
        <w:rPr>
          <w:rFonts w:hint="default" w:ascii="Times New Roman" w:hAnsi="Times New Roman" w:cs="Times New Roman"/>
          <w:b/>
          <w:bCs/>
          <w:kern w:val="21"/>
          <w:sz w:val="32"/>
          <w:szCs w:val="32"/>
          <w:highlight w:val="none"/>
          <w:lang w:eastAsia="zh-CN"/>
        </w:rPr>
        <w:t>。</w:t>
      </w:r>
      <w:r>
        <w:rPr>
          <w:rFonts w:hint="default" w:ascii="Times New Roman" w:hAnsi="Times New Roman" w:cs="Times New Roman"/>
          <w:kern w:val="21"/>
          <w:sz w:val="32"/>
          <w:szCs w:val="32"/>
          <w:highlight w:val="none"/>
          <w:lang w:val="en-US" w:eastAsia="zh-CN"/>
        </w:rPr>
        <w:t>获评省</w:t>
      </w:r>
      <w:r>
        <w:rPr>
          <w:rFonts w:hint="default" w:ascii="Times New Roman" w:hAnsi="Times New Roman" w:eastAsia="仿宋_GB2312" w:cs="Times New Roman"/>
          <w:kern w:val="21"/>
          <w:sz w:val="32"/>
          <w:szCs w:val="32"/>
          <w:highlight w:val="none"/>
        </w:rPr>
        <w:t>县域经济高质量发展进步县</w:t>
      </w:r>
      <w:r>
        <w:rPr>
          <w:rFonts w:hint="default" w:ascii="Times New Roman" w:hAnsi="Times New Roman" w:cs="Times New Roman"/>
          <w:kern w:val="21"/>
          <w:sz w:val="32"/>
          <w:szCs w:val="32"/>
          <w:highlight w:val="none"/>
          <w:lang w:eastAsia="zh-CN"/>
        </w:rPr>
        <w:t>、</w:t>
      </w:r>
      <w:r>
        <w:rPr>
          <w:rFonts w:hint="default" w:ascii="Times New Roman" w:hAnsi="Times New Roman" w:cs="Times New Roman"/>
          <w:kern w:val="21"/>
          <w:sz w:val="32"/>
          <w:szCs w:val="32"/>
          <w:highlight w:val="none"/>
          <w:lang w:val="en-US" w:eastAsia="zh-CN"/>
        </w:rPr>
        <w:t>省</w:t>
      </w:r>
      <w:r>
        <w:rPr>
          <w:rFonts w:hint="default" w:ascii="Times New Roman" w:hAnsi="Times New Roman" w:eastAsia="仿宋_GB2312" w:cs="Times New Roman"/>
          <w:kern w:val="21"/>
          <w:sz w:val="32"/>
          <w:szCs w:val="32"/>
          <w:highlight w:val="none"/>
        </w:rPr>
        <w:t>民营经济高质量发展先进县</w:t>
      </w:r>
      <w:r>
        <w:rPr>
          <w:rFonts w:hint="default" w:ascii="Times New Roman" w:hAnsi="Times New Roman" w:cs="Times New Roman"/>
          <w:kern w:val="21"/>
          <w:sz w:val="32"/>
          <w:szCs w:val="32"/>
          <w:highlight w:val="none"/>
          <w:lang w:eastAsia="zh-CN"/>
        </w:rPr>
        <w:t>、</w:t>
      </w:r>
      <w:r>
        <w:rPr>
          <w:rFonts w:hint="default" w:ascii="Times New Roman" w:hAnsi="Times New Roman" w:cs="Times New Roman"/>
          <w:kern w:val="21"/>
          <w:sz w:val="32"/>
          <w:szCs w:val="32"/>
          <w:highlight w:val="none"/>
          <w:lang w:val="en-US" w:eastAsia="zh-CN"/>
        </w:rPr>
        <w:t>省县域商业“提升型”县</w:t>
      </w:r>
      <w:r>
        <w:rPr>
          <w:rFonts w:hint="default" w:ascii="Times New Roman" w:hAnsi="Times New Roman" w:cs="Times New Roman"/>
          <w:kern w:val="21"/>
          <w:sz w:val="32"/>
          <w:szCs w:val="32"/>
          <w:highlight w:val="none"/>
          <w:lang w:eastAsia="zh-CN"/>
        </w:rPr>
        <w:t>、</w:t>
      </w:r>
      <w:r>
        <w:rPr>
          <w:rFonts w:hint="default" w:ascii="Times New Roman" w:hAnsi="Times New Roman" w:cs="Times New Roman"/>
          <w:kern w:val="21"/>
          <w:sz w:val="32"/>
          <w:szCs w:val="32"/>
          <w:highlight w:val="none"/>
          <w:lang w:val="en-US" w:eastAsia="zh-CN"/>
        </w:rPr>
        <w:t>省</w:t>
      </w:r>
      <w:r>
        <w:rPr>
          <w:rFonts w:hint="default" w:ascii="Times New Roman" w:hAnsi="Times New Roman" w:cs="Times New Roman"/>
          <w:color w:val="000000"/>
          <w:sz w:val="32"/>
          <w:szCs w:val="32"/>
          <w:highlight w:val="none"/>
          <w:u w:val="none"/>
        </w:rPr>
        <w:t>城乡融合发展试验区</w:t>
      </w:r>
      <w:r>
        <w:rPr>
          <w:rFonts w:hint="default" w:ascii="Times New Roman" w:hAnsi="Times New Roman" w:eastAsia="仿宋_GB2312" w:cs="Times New Roman"/>
          <w:b w:val="0"/>
          <w:color w:val="auto"/>
          <w:kern w:val="2"/>
          <w:sz w:val="32"/>
          <w:szCs w:val="32"/>
          <w:highlight w:val="none"/>
          <w:lang w:val="en-US" w:eastAsia="zh-CN" w:bidi="ar-SA"/>
        </w:rPr>
        <w:t>等荣誉称号。</w:t>
      </w:r>
    </w:p>
    <w:p w14:paraId="2F81376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b w:val="0"/>
          <w:color w:val="auto"/>
          <w:kern w:val="2"/>
          <w:sz w:val="32"/>
          <w:szCs w:val="32"/>
          <w:highlight w:val="none"/>
          <w:lang w:val="en-US" w:eastAsia="zh-CN" w:bidi="ar-SA"/>
        </w:rPr>
      </w:pPr>
      <w:r>
        <w:rPr>
          <w:rFonts w:hint="default" w:ascii="楷体_GB2312" w:hAnsi="楷体_GB2312" w:eastAsia="楷体_GB2312" w:cs="楷体_GB2312"/>
          <w:kern w:val="21"/>
          <w:sz w:val="32"/>
          <w:szCs w:val="32"/>
          <w:highlight w:val="none"/>
          <w:lang w:val="en-US" w:eastAsia="zh-CN"/>
        </w:rPr>
        <w:t>产业发展质效双升</w:t>
      </w:r>
      <w:r>
        <w:rPr>
          <w:rFonts w:hint="default" w:ascii="楷体_GB2312" w:hAnsi="楷体_GB2312" w:eastAsia="楷体_GB2312" w:cs="楷体_GB2312"/>
          <w:kern w:val="21"/>
          <w:sz w:val="32"/>
          <w:szCs w:val="32"/>
          <w:highlight w:val="none"/>
          <w:lang w:eastAsia="zh-CN"/>
        </w:rPr>
        <w:t>。</w:t>
      </w:r>
      <w:r>
        <w:rPr>
          <w:rFonts w:hint="default" w:ascii="Times New Roman" w:hAnsi="Times New Roman" w:eastAsia="仿宋_GB2312" w:cs="Times New Roman"/>
          <w:b/>
          <w:bCs/>
          <w:kern w:val="21"/>
          <w:sz w:val="32"/>
          <w:szCs w:val="32"/>
          <w:highlight w:val="none"/>
        </w:rPr>
        <w:t>产业结构</w:t>
      </w:r>
      <w:r>
        <w:rPr>
          <w:rFonts w:hint="default" w:ascii="Times New Roman" w:hAnsi="Times New Roman" w:cs="Times New Roman"/>
          <w:b/>
          <w:bCs/>
          <w:kern w:val="21"/>
          <w:sz w:val="32"/>
          <w:szCs w:val="32"/>
          <w:highlight w:val="none"/>
          <w:lang w:val="en-US" w:eastAsia="zh-CN"/>
        </w:rPr>
        <w:t>更加</w:t>
      </w:r>
      <w:r>
        <w:rPr>
          <w:rFonts w:hint="default" w:ascii="Times New Roman" w:hAnsi="Times New Roman" w:eastAsia="仿宋_GB2312" w:cs="Times New Roman"/>
          <w:b/>
          <w:bCs/>
          <w:kern w:val="21"/>
          <w:sz w:val="32"/>
          <w:szCs w:val="32"/>
          <w:highlight w:val="none"/>
        </w:rPr>
        <w:t>优化。</w:t>
      </w:r>
      <w:r>
        <w:rPr>
          <w:rFonts w:hint="default" w:ascii="Times New Roman" w:hAnsi="Times New Roman" w:eastAsia="仿宋_GB2312" w:cs="Times New Roman"/>
          <w:kern w:val="21"/>
          <w:sz w:val="32"/>
          <w:szCs w:val="32"/>
          <w:highlight w:val="none"/>
        </w:rPr>
        <w:t>三次产业由2020年5.9</w:t>
      </w:r>
      <w:r>
        <w:rPr>
          <w:rFonts w:hint="eastAsia" w:ascii="Times New Roman" w:hAnsi="Times New Roman" w:cs="Times New Roman"/>
          <w:kern w:val="21"/>
          <w:sz w:val="32"/>
          <w:szCs w:val="32"/>
          <w:highlight w:val="none"/>
          <w:lang w:val="en-US" w:eastAsia="zh-CN"/>
        </w:rPr>
        <w:t>:</w:t>
      </w:r>
      <w:r>
        <w:rPr>
          <w:rFonts w:hint="default" w:ascii="Times New Roman" w:hAnsi="Times New Roman" w:eastAsia="仿宋_GB2312" w:cs="Times New Roman"/>
          <w:kern w:val="21"/>
          <w:sz w:val="32"/>
          <w:szCs w:val="32"/>
          <w:highlight w:val="none"/>
          <w:lang w:val="en-US"/>
        </w:rPr>
        <w:t>35.4</w:t>
      </w:r>
      <w:r>
        <w:rPr>
          <w:rFonts w:hint="eastAsia" w:ascii="Times New Roman" w:hAnsi="Times New Roman" w:cs="Times New Roman"/>
          <w:kern w:val="21"/>
          <w:sz w:val="32"/>
          <w:szCs w:val="32"/>
          <w:highlight w:val="none"/>
          <w:lang w:val="en-US" w:eastAsia="zh-CN"/>
        </w:rPr>
        <w:t>:</w:t>
      </w:r>
      <w:r>
        <w:rPr>
          <w:rFonts w:hint="default" w:ascii="Times New Roman" w:hAnsi="Times New Roman" w:eastAsia="仿宋_GB2312" w:cs="Times New Roman"/>
          <w:kern w:val="21"/>
          <w:sz w:val="32"/>
          <w:szCs w:val="32"/>
          <w:highlight w:val="none"/>
        </w:rPr>
        <w:t>58.7调整为2025年</w:t>
      </w:r>
      <w:r>
        <w:rPr>
          <w:rFonts w:hint="default" w:ascii="Times New Roman" w:hAnsi="Times New Roman" w:cs="Times New Roman"/>
          <w:kern w:val="21"/>
          <w:szCs w:val="32"/>
          <w:highlight w:val="none"/>
        </w:rPr>
        <w:t>5.</w:t>
      </w:r>
      <w:r>
        <w:rPr>
          <w:rFonts w:hint="default" w:ascii="Times New Roman" w:hAnsi="Times New Roman" w:cs="Times New Roman"/>
          <w:kern w:val="21"/>
          <w:szCs w:val="32"/>
          <w:highlight w:val="none"/>
          <w:lang w:val="en-US" w:eastAsia="zh-CN"/>
        </w:rPr>
        <w:t>3</w:t>
      </w:r>
      <w:r>
        <w:rPr>
          <w:rFonts w:hint="eastAsia" w:ascii="Times New Roman" w:hAnsi="Times New Roman" w:cs="Times New Roman"/>
          <w:kern w:val="21"/>
          <w:sz w:val="32"/>
          <w:szCs w:val="32"/>
          <w:highlight w:val="none"/>
          <w:lang w:val="en-US" w:eastAsia="zh-CN"/>
        </w:rPr>
        <w:t>:</w:t>
      </w:r>
      <w:r>
        <w:rPr>
          <w:rFonts w:hint="default" w:ascii="Times New Roman" w:hAnsi="Times New Roman" w:cs="Times New Roman"/>
          <w:kern w:val="21"/>
          <w:szCs w:val="32"/>
          <w:highlight w:val="none"/>
        </w:rPr>
        <w:t>2</w:t>
      </w:r>
      <w:r>
        <w:rPr>
          <w:rFonts w:hint="default" w:ascii="Times New Roman" w:hAnsi="Times New Roman" w:cs="Times New Roman"/>
          <w:kern w:val="21"/>
          <w:szCs w:val="32"/>
          <w:highlight w:val="none"/>
          <w:lang w:val="en-US" w:eastAsia="zh-CN"/>
        </w:rPr>
        <w:t>4.4</w:t>
      </w:r>
      <w:r>
        <w:rPr>
          <w:rFonts w:hint="eastAsia" w:ascii="Times New Roman" w:hAnsi="Times New Roman" w:cs="Times New Roman"/>
          <w:kern w:val="21"/>
          <w:sz w:val="32"/>
          <w:szCs w:val="32"/>
          <w:highlight w:val="none"/>
          <w:lang w:val="en-US" w:eastAsia="zh-CN"/>
        </w:rPr>
        <w:t>:</w:t>
      </w:r>
      <w:r>
        <w:rPr>
          <w:rFonts w:hint="default" w:ascii="Times New Roman" w:hAnsi="Times New Roman" w:cs="Times New Roman"/>
          <w:kern w:val="21"/>
          <w:szCs w:val="32"/>
          <w:highlight w:val="none"/>
          <w:lang w:val="en-US" w:eastAsia="zh-CN"/>
        </w:rPr>
        <w:t>70.3</w:t>
      </w:r>
      <w:r>
        <w:rPr>
          <w:rFonts w:hint="default" w:ascii="Times New Roman" w:hAnsi="Times New Roman" w:eastAsia="仿宋_GB2312" w:cs="Times New Roman"/>
          <w:kern w:val="21"/>
          <w:sz w:val="32"/>
          <w:szCs w:val="32"/>
          <w:highlight w:val="none"/>
        </w:rPr>
        <w:t>，</w:t>
      </w:r>
      <w:r>
        <w:rPr>
          <w:rFonts w:hint="default" w:ascii="Times New Roman" w:hAnsi="Times New Roman" w:eastAsia="仿宋_GB2312" w:cs="Times New Roman"/>
          <w:snapToGrid w:val="0"/>
          <w:color w:val="auto"/>
          <w:kern w:val="0"/>
          <w:sz w:val="32"/>
          <w:szCs w:val="32"/>
          <w:highlight w:val="none"/>
          <w:u w:val="none" w:color="auto"/>
        </w:rPr>
        <w:t>服务业比重提升</w:t>
      </w:r>
      <w:r>
        <w:rPr>
          <w:rFonts w:hint="default" w:ascii="Times New Roman" w:hAnsi="Times New Roman" w:cs="Times New Roman"/>
          <w:snapToGrid w:val="0"/>
          <w:color w:val="auto"/>
          <w:kern w:val="0"/>
          <w:sz w:val="32"/>
          <w:szCs w:val="32"/>
          <w:highlight w:val="none"/>
          <w:u w:val="none" w:color="auto"/>
          <w:lang w:val="en-US" w:eastAsia="zh-CN"/>
        </w:rPr>
        <w:t>11.6</w:t>
      </w:r>
      <w:r>
        <w:rPr>
          <w:rFonts w:hint="default" w:ascii="Times New Roman" w:hAnsi="Times New Roman" w:eastAsia="仿宋_GB2312" w:cs="Times New Roman"/>
          <w:snapToGrid w:val="0"/>
          <w:color w:val="auto"/>
          <w:kern w:val="0"/>
          <w:sz w:val="32"/>
          <w:szCs w:val="32"/>
          <w:highlight w:val="none"/>
          <w:u w:val="none" w:color="auto"/>
        </w:rPr>
        <w:t>个百分点</w:t>
      </w:r>
      <w:r>
        <w:rPr>
          <w:rFonts w:hint="default" w:ascii="Times New Roman" w:hAnsi="Times New Roman" w:eastAsia="仿宋_GB2312" w:cs="Times New Roman"/>
          <w:kern w:val="21"/>
          <w:sz w:val="32"/>
          <w:szCs w:val="32"/>
          <w:highlight w:val="none"/>
        </w:rPr>
        <w:t>，工业高端化、智能化、绿色化转型加快，农业现代化水平显著提高，产业发展的协调性和抗风险能力进一步增强。</w:t>
      </w:r>
      <w:r>
        <w:rPr>
          <w:rFonts w:hint="default" w:ascii="Times New Roman" w:hAnsi="Times New Roman" w:cs="Times New Roman"/>
          <w:b/>
          <w:bCs/>
          <w:kern w:val="21"/>
          <w:sz w:val="32"/>
          <w:szCs w:val="32"/>
          <w:highlight w:val="none"/>
          <w:lang w:val="en-US" w:eastAsia="zh-CN"/>
        </w:rPr>
        <w:t>产业体系日益壮大。</w:t>
      </w:r>
      <w:r>
        <w:rPr>
          <w:rFonts w:hint="default" w:ascii="Times New Roman" w:hAnsi="Times New Roman" w:cs="Times New Roman"/>
          <w:snapToGrid w:val="0"/>
          <w:color w:val="auto"/>
          <w:kern w:val="0"/>
          <w:sz w:val="32"/>
          <w:szCs w:val="32"/>
          <w:highlight w:val="none"/>
          <w:u w:val="none" w:color="auto"/>
          <w:lang w:val="en-US" w:eastAsia="zh-CN"/>
        </w:rPr>
        <w:t>落实“工业倍增”计划，开展工业企业“8010”三年对标登高行动，规上工业总产</w:t>
      </w:r>
      <w:r>
        <w:rPr>
          <w:rFonts w:hint="default" w:ascii="Times New Roman" w:hAnsi="Times New Roman" w:eastAsia="仿宋_GB2312" w:cs="Times New Roman"/>
          <w:color w:val="auto"/>
          <w:sz w:val="32"/>
          <w:szCs w:val="32"/>
          <w:highlight w:val="none"/>
          <w:lang w:val="en-US" w:eastAsia="zh-CN"/>
        </w:rPr>
        <w:t>值</w:t>
      </w:r>
      <w:r>
        <w:rPr>
          <w:rFonts w:hint="default" w:ascii="Times New Roman" w:hAnsi="Times New Roman" w:cs="Times New Roman"/>
          <w:color w:val="auto"/>
          <w:sz w:val="32"/>
          <w:szCs w:val="32"/>
          <w:highlight w:val="none"/>
          <w:lang w:val="en-US" w:eastAsia="zh-CN"/>
        </w:rPr>
        <w:t>突破247亿元、</w:t>
      </w:r>
      <w:r>
        <w:rPr>
          <w:rFonts w:hint="default" w:ascii="Times New Roman" w:hAnsi="Times New Roman" w:cs="Times New Roman"/>
          <w:b w:val="0"/>
          <w:bCs w:val="0"/>
          <w:kern w:val="21"/>
          <w:sz w:val="32"/>
          <w:szCs w:val="32"/>
          <w:highlight w:val="none"/>
          <w:lang w:val="en-US" w:eastAsia="zh-CN"/>
        </w:rPr>
        <w:t>较“十三五”末增加57亿元，</w:t>
      </w:r>
      <w:r>
        <w:rPr>
          <w:rFonts w:hint="default" w:ascii="Times New Roman" w:hAnsi="Times New Roman" w:eastAsia="仿宋_GB2312" w:cs="Times New Roman"/>
          <w:b w:val="0"/>
          <w:color w:val="auto"/>
          <w:kern w:val="2"/>
          <w:sz w:val="32"/>
          <w:szCs w:val="32"/>
          <w:highlight w:val="none"/>
          <w:lang w:val="en-US" w:eastAsia="zh-CN" w:bidi="ar-SA"/>
        </w:rPr>
        <w:t>规上工业企业发展到</w:t>
      </w:r>
      <w:r>
        <w:rPr>
          <w:rFonts w:hint="default" w:ascii="Times New Roman" w:hAnsi="Times New Roman"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28</w:t>
      </w:r>
      <w:r>
        <w:rPr>
          <w:rFonts w:hint="default" w:ascii="Times New Roman" w:hAnsi="Times New Roman" w:eastAsia="仿宋_GB2312" w:cs="Times New Roman"/>
          <w:b w:val="0"/>
          <w:color w:val="auto"/>
          <w:kern w:val="2"/>
          <w:sz w:val="32"/>
          <w:szCs w:val="32"/>
          <w:highlight w:val="none"/>
          <w:lang w:val="en-US" w:eastAsia="zh-CN" w:bidi="ar-SA"/>
        </w:rPr>
        <w:t>家</w:t>
      </w:r>
      <w:r>
        <w:rPr>
          <w:rFonts w:hint="default" w:ascii="Times New Roman" w:hAnsi="Times New Roman" w:cs="Times New Roman"/>
          <w:b w:val="0"/>
          <w:color w:val="auto"/>
          <w:kern w:val="2"/>
          <w:sz w:val="32"/>
          <w:szCs w:val="32"/>
          <w:highlight w:val="none"/>
          <w:lang w:val="en-US" w:eastAsia="zh-CN" w:bidi="ar-SA"/>
        </w:rPr>
        <w:t>、</w:t>
      </w:r>
      <w:r>
        <w:rPr>
          <w:rFonts w:hint="default" w:ascii="Times New Roman" w:hAnsi="Times New Roman" w:cs="Times New Roman"/>
          <w:b w:val="0"/>
          <w:bCs w:val="0"/>
          <w:kern w:val="21"/>
          <w:sz w:val="32"/>
          <w:szCs w:val="32"/>
          <w:highlight w:val="none"/>
          <w:lang w:val="en-US" w:eastAsia="zh-CN"/>
        </w:rPr>
        <w:t>较“十三五”末增加</w:t>
      </w:r>
      <w:r>
        <w:rPr>
          <w:rFonts w:hint="eastAsia" w:ascii="Times New Roman" w:hAnsi="Times New Roman" w:cs="Times New Roman"/>
          <w:b w:val="0"/>
          <w:bCs w:val="0"/>
          <w:kern w:val="21"/>
          <w:sz w:val="32"/>
          <w:szCs w:val="32"/>
          <w:highlight w:val="none"/>
          <w:lang w:val="en-US" w:eastAsia="zh-CN"/>
        </w:rPr>
        <w:t>48</w:t>
      </w:r>
      <w:r>
        <w:rPr>
          <w:rFonts w:hint="default" w:ascii="Times New Roman" w:hAnsi="Times New Roman" w:cs="Times New Roman"/>
          <w:b w:val="0"/>
          <w:bCs w:val="0"/>
          <w:kern w:val="21"/>
          <w:sz w:val="32"/>
          <w:szCs w:val="32"/>
          <w:highlight w:val="none"/>
          <w:lang w:val="en-US" w:eastAsia="zh-CN"/>
        </w:rPr>
        <w:t>家，</w:t>
      </w:r>
      <w:r>
        <w:rPr>
          <w:rFonts w:hint="default" w:ascii="Times New Roman" w:hAnsi="Times New Roman" w:cs="Times New Roman"/>
          <w:b w:val="0"/>
          <w:color w:val="auto"/>
          <w:kern w:val="2"/>
          <w:sz w:val="32"/>
          <w:szCs w:val="32"/>
          <w:highlight w:val="none"/>
          <w:lang w:val="en-US" w:eastAsia="zh-CN" w:bidi="ar-SA"/>
        </w:rPr>
        <w:t>累计实施500万元以上工业</w:t>
      </w:r>
      <w:r>
        <w:rPr>
          <w:rFonts w:hint="default" w:ascii="Times New Roman" w:hAnsi="Times New Roman" w:eastAsia="仿宋_GB2312" w:cs="Times New Roman"/>
          <w:b w:val="0"/>
          <w:color w:val="auto"/>
          <w:kern w:val="2"/>
          <w:sz w:val="32"/>
          <w:szCs w:val="32"/>
          <w:highlight w:val="none"/>
          <w:lang w:val="en-US" w:eastAsia="zh-CN" w:bidi="ar-SA"/>
        </w:rPr>
        <w:t>技改项目</w:t>
      </w:r>
      <w:r>
        <w:rPr>
          <w:rFonts w:hint="default" w:ascii="Times New Roman" w:hAnsi="Times New Roman" w:cs="Times New Roman"/>
          <w:b w:val="0"/>
          <w:color w:val="auto"/>
          <w:kern w:val="2"/>
          <w:sz w:val="32"/>
          <w:szCs w:val="32"/>
          <w:highlight w:val="none"/>
          <w:lang w:val="en-US" w:eastAsia="zh-CN" w:bidi="ar-SA"/>
        </w:rPr>
        <w:t>136</w:t>
      </w:r>
      <w:r>
        <w:rPr>
          <w:rFonts w:hint="default" w:ascii="Times New Roman" w:hAnsi="Times New Roman" w:eastAsia="仿宋_GB2312" w:cs="Times New Roman"/>
          <w:b w:val="0"/>
          <w:color w:val="auto"/>
          <w:kern w:val="2"/>
          <w:sz w:val="32"/>
          <w:szCs w:val="32"/>
          <w:highlight w:val="none"/>
          <w:lang w:val="en-US" w:eastAsia="zh-CN" w:bidi="ar-SA"/>
        </w:rPr>
        <w:t>个</w:t>
      </w:r>
      <w:r>
        <w:rPr>
          <w:rFonts w:hint="default" w:ascii="Times New Roman" w:hAnsi="Times New Roman" w:cs="Times New Roman"/>
          <w:b w:val="0"/>
          <w:color w:val="auto"/>
          <w:kern w:val="2"/>
          <w:sz w:val="32"/>
          <w:szCs w:val="32"/>
          <w:highlight w:val="none"/>
          <w:lang w:val="en-US" w:eastAsia="zh-CN" w:bidi="ar-SA"/>
        </w:rPr>
        <w:t>。高端化工企业发展到29家，产值突破100亿元；高端装备产业新上中科智能制造、华瑞制冷等项目，产值达</w:t>
      </w:r>
      <w:r>
        <w:rPr>
          <w:rFonts w:hint="eastAsia" w:ascii="Times New Roman" w:hAnsi="Times New Roman" w:cs="Times New Roman"/>
          <w:b w:val="0"/>
          <w:color w:val="auto"/>
          <w:kern w:val="2"/>
          <w:sz w:val="32"/>
          <w:szCs w:val="32"/>
          <w:highlight w:val="none"/>
          <w:lang w:val="en-US" w:eastAsia="zh-CN" w:bidi="ar-SA"/>
        </w:rPr>
        <w:t>到32</w:t>
      </w:r>
      <w:r>
        <w:rPr>
          <w:rFonts w:hint="default" w:ascii="Times New Roman" w:hAnsi="Times New Roman" w:cs="Times New Roman"/>
          <w:b w:val="0"/>
          <w:color w:val="auto"/>
          <w:kern w:val="2"/>
          <w:sz w:val="32"/>
          <w:szCs w:val="32"/>
          <w:highlight w:val="none"/>
          <w:lang w:val="en-US" w:eastAsia="zh-CN" w:bidi="ar-SA"/>
        </w:rPr>
        <w:t>亿元；食品加工业</w:t>
      </w:r>
      <w:r>
        <w:rPr>
          <w:rFonts w:hint="default" w:ascii="Times New Roman" w:hAnsi="Times New Roman" w:eastAsia="仿宋_GB2312" w:cs="Times New Roman"/>
          <w:b w:val="0"/>
          <w:color w:val="auto"/>
          <w:kern w:val="2"/>
          <w:sz w:val="32"/>
          <w:szCs w:val="32"/>
          <w:highlight w:val="none"/>
          <w:lang w:val="en-US" w:eastAsia="zh-CN" w:bidi="ar-SA"/>
        </w:rPr>
        <w:t>建成</w:t>
      </w:r>
      <w:r>
        <w:rPr>
          <w:rFonts w:hint="default" w:ascii="Times New Roman" w:hAnsi="Times New Roman" w:cs="Times New Roman"/>
          <w:b w:val="0"/>
          <w:color w:val="auto"/>
          <w:kern w:val="2"/>
          <w:sz w:val="32"/>
          <w:szCs w:val="32"/>
          <w:highlight w:val="none"/>
          <w:lang w:val="en-US" w:eastAsia="zh-CN" w:bidi="ar-SA"/>
        </w:rPr>
        <w:t>青岛啤酒、夫宇绿色食品产业园等</w:t>
      </w:r>
      <w:r>
        <w:rPr>
          <w:rFonts w:hint="default" w:ascii="Times New Roman" w:hAnsi="Times New Roman" w:eastAsia="仿宋_GB2312" w:cs="Times New Roman"/>
          <w:b w:val="0"/>
          <w:color w:val="auto"/>
          <w:kern w:val="2"/>
          <w:sz w:val="32"/>
          <w:szCs w:val="32"/>
          <w:highlight w:val="none"/>
          <w:lang w:val="en-US" w:eastAsia="zh-CN" w:bidi="ar-SA"/>
        </w:rPr>
        <w:t>项目，</w:t>
      </w:r>
      <w:r>
        <w:rPr>
          <w:rFonts w:hint="default" w:ascii="Times New Roman" w:hAnsi="Times New Roman" w:cs="Times New Roman"/>
          <w:b w:val="0"/>
          <w:color w:val="auto"/>
          <w:kern w:val="2"/>
          <w:sz w:val="32"/>
          <w:szCs w:val="32"/>
          <w:highlight w:val="none"/>
          <w:lang w:val="en-US" w:eastAsia="zh-CN" w:bidi="ar-SA"/>
        </w:rPr>
        <w:t>产值达20亿元。</w:t>
      </w:r>
      <w:r>
        <w:rPr>
          <w:rFonts w:hint="default" w:ascii="Times New Roman" w:hAnsi="Times New Roman" w:cs="Times New Roman"/>
          <w:b/>
          <w:bCs/>
          <w:color w:val="auto"/>
          <w:kern w:val="2"/>
          <w:sz w:val="32"/>
          <w:szCs w:val="32"/>
          <w:highlight w:val="none"/>
          <w:lang w:val="en-US" w:eastAsia="zh-CN" w:bidi="ar-SA"/>
        </w:rPr>
        <w:t>园区载体不断夯实。</w:t>
      </w:r>
      <w:r>
        <w:rPr>
          <w:rFonts w:hint="default" w:ascii="Times New Roman" w:hAnsi="Times New Roman" w:cs="Times New Roman"/>
          <w:b w:val="0"/>
          <w:color w:val="auto"/>
          <w:kern w:val="2"/>
          <w:sz w:val="32"/>
          <w:szCs w:val="32"/>
          <w:highlight w:val="none"/>
          <w:lang w:val="en-US" w:eastAsia="zh-CN" w:bidi="ar-SA"/>
        </w:rPr>
        <w:t>实施“企业满园”三年攻坚突破行动，经济开发区</w:t>
      </w:r>
      <w:r>
        <w:rPr>
          <w:rFonts w:hint="default" w:ascii="Times New Roman" w:hAnsi="Times New Roman" w:eastAsia="仿宋_GB2312" w:cs="Times New Roman"/>
          <w:b w:val="0"/>
          <w:color w:val="auto"/>
          <w:kern w:val="2"/>
          <w:sz w:val="32"/>
          <w:szCs w:val="32"/>
          <w:highlight w:val="none"/>
          <w:lang w:val="en-US" w:eastAsia="zh-CN" w:bidi="ar-SA"/>
        </w:rPr>
        <w:t>清理闲置企业18家，新建工业标准厂房65万平方米，</w:t>
      </w:r>
      <w:r>
        <w:rPr>
          <w:rFonts w:hint="default" w:ascii="Times New Roman" w:hAnsi="Times New Roman" w:cs="Times New Roman"/>
          <w:b w:val="0"/>
          <w:color w:val="auto"/>
          <w:kern w:val="2"/>
          <w:sz w:val="32"/>
          <w:szCs w:val="32"/>
          <w:highlight w:val="none"/>
          <w:lang w:val="en-US" w:eastAsia="zh-CN" w:bidi="ar-SA"/>
        </w:rPr>
        <w:t>规上工业企业发展到59家，</w:t>
      </w:r>
      <w:r>
        <w:rPr>
          <w:rFonts w:hint="default" w:ascii="Times New Roman" w:hAnsi="Times New Roman" w:eastAsia="仿宋_GB2312" w:cs="Times New Roman"/>
          <w:b w:val="0"/>
          <w:color w:val="auto"/>
          <w:kern w:val="2"/>
          <w:sz w:val="32"/>
          <w:szCs w:val="32"/>
          <w:highlight w:val="none"/>
          <w:lang w:val="en-US" w:eastAsia="zh-CN" w:bidi="ar-SA"/>
        </w:rPr>
        <w:t>亩均营收突破300万元。薛城化工产业园实施“镇园合一”管理体制</w:t>
      </w:r>
      <w:r>
        <w:rPr>
          <w:rFonts w:hint="default" w:ascii="Times New Roman" w:hAnsi="Times New Roman" w:cs="Times New Roman"/>
          <w:b w:val="0"/>
          <w:color w:val="auto"/>
          <w:kern w:val="2"/>
          <w:sz w:val="32"/>
          <w:szCs w:val="32"/>
          <w:highlight w:val="none"/>
          <w:lang w:val="en-US" w:eastAsia="zh-CN" w:bidi="ar-SA"/>
        </w:rPr>
        <w:t>，顺利</w:t>
      </w:r>
      <w:r>
        <w:rPr>
          <w:rFonts w:hint="default" w:ascii="Times New Roman" w:hAnsi="Times New Roman" w:eastAsia="仿宋_GB2312" w:cs="Times New Roman"/>
          <w:b w:val="0"/>
          <w:color w:val="auto"/>
          <w:kern w:val="2"/>
          <w:sz w:val="32"/>
          <w:szCs w:val="32"/>
          <w:highlight w:val="none"/>
          <w:lang w:val="en-US" w:eastAsia="zh-CN" w:bidi="ar-SA"/>
        </w:rPr>
        <w:t>通过化工园区综合评价省</w:t>
      </w:r>
      <w:r>
        <w:rPr>
          <w:rFonts w:hint="default" w:ascii="Times New Roman" w:hAnsi="Times New Roman" w:eastAsia="仿宋_GB2312" w:cs="Times New Roman"/>
          <w:b w:val="0"/>
          <w:color w:val="auto"/>
          <w:spacing w:val="-6"/>
          <w:kern w:val="2"/>
          <w:sz w:val="32"/>
          <w:szCs w:val="32"/>
          <w:highlight w:val="none"/>
          <w:lang w:val="en-US" w:eastAsia="zh-CN" w:bidi="ar-SA"/>
        </w:rPr>
        <w:t>级复核，获评全省首批减污降碳协同创新试点、省级“无废园区”。</w:t>
      </w:r>
    </w:p>
    <w:p w14:paraId="354BF75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
          <w:sz w:val="32"/>
          <w:szCs w:val="24"/>
        </w:rPr>
      </w:pPr>
      <w:r>
        <w:rPr>
          <w:rFonts w:hint="default" w:ascii="楷体_GB2312" w:hAnsi="楷体_GB2312" w:eastAsia="楷体_GB2312" w:cs="楷体_GB2312"/>
          <w:kern w:val="21"/>
          <w:sz w:val="32"/>
          <w:szCs w:val="32"/>
          <w:highlight w:val="none"/>
        </w:rPr>
        <w:t>城市品质</w:t>
      </w:r>
      <w:r>
        <w:rPr>
          <w:rFonts w:hint="default" w:ascii="楷体_GB2312" w:hAnsi="楷体_GB2312" w:eastAsia="楷体_GB2312" w:cs="楷体_GB2312"/>
          <w:kern w:val="21"/>
          <w:sz w:val="32"/>
          <w:szCs w:val="32"/>
          <w:highlight w:val="none"/>
          <w:lang w:val="en-US" w:eastAsia="zh-CN"/>
        </w:rPr>
        <w:t>不断</w:t>
      </w:r>
      <w:r>
        <w:rPr>
          <w:rFonts w:hint="default" w:ascii="楷体_GB2312" w:hAnsi="楷体_GB2312" w:eastAsia="楷体_GB2312" w:cs="楷体_GB2312"/>
          <w:kern w:val="21"/>
          <w:sz w:val="32"/>
          <w:szCs w:val="32"/>
          <w:highlight w:val="none"/>
        </w:rPr>
        <w:t>提升</w:t>
      </w:r>
      <w:r>
        <w:rPr>
          <w:rFonts w:hint="default" w:ascii="楷体_GB2312" w:hAnsi="楷体_GB2312" w:eastAsia="楷体_GB2312" w:cs="楷体_GB2312"/>
          <w:kern w:val="21"/>
          <w:sz w:val="32"/>
          <w:szCs w:val="32"/>
          <w:highlight w:val="none"/>
          <w:lang w:eastAsia="zh-CN"/>
        </w:rPr>
        <w:t>。</w:t>
      </w:r>
      <w:r>
        <w:rPr>
          <w:rFonts w:hint="default" w:ascii="Times New Roman" w:hAnsi="Times New Roman" w:eastAsia="仿宋_GB2312" w:cs="Times New Roman"/>
          <w:b/>
          <w:bCs/>
          <w:kern w:val="21"/>
          <w:sz w:val="32"/>
          <w:szCs w:val="32"/>
          <w:lang w:val="en-US" w:eastAsia="zh-CN"/>
        </w:rPr>
        <w:t>城市功能日趋完善。</w:t>
      </w:r>
      <w:r>
        <w:rPr>
          <w:rFonts w:hint="default" w:ascii="Times New Roman" w:hAnsi="Times New Roman" w:eastAsia="仿宋_GB2312" w:cs="Times New Roman"/>
          <w:b w:val="0"/>
          <w:color w:val="auto"/>
          <w:kern w:val="2"/>
          <w:sz w:val="32"/>
          <w:szCs w:val="32"/>
          <w:highlight w:val="none"/>
          <w:lang w:val="en-US" w:eastAsia="zh-CN" w:bidi="ar-SA"/>
        </w:rPr>
        <w:t>京台高速改扩建、世纪大道、郯兰线提升、店韩路提升</w:t>
      </w:r>
      <w:r>
        <w:rPr>
          <w:rFonts w:hint="default" w:ascii="Times New Roman" w:hAnsi="Times New Roman" w:cs="Times New Roman"/>
          <w:b w:val="0"/>
          <w:color w:val="auto"/>
          <w:kern w:val="2"/>
          <w:sz w:val="32"/>
          <w:szCs w:val="32"/>
          <w:highlight w:val="none"/>
          <w:lang w:val="en-US" w:eastAsia="zh-CN" w:bidi="ar-SA"/>
        </w:rPr>
        <w:t>、济枣线张岭高速出口</w:t>
      </w:r>
      <w:r>
        <w:rPr>
          <w:rFonts w:hint="default" w:ascii="Times New Roman" w:hAnsi="Times New Roman" w:eastAsia="仿宋_GB2312" w:cs="Times New Roman"/>
          <w:b w:val="0"/>
          <w:color w:val="auto"/>
          <w:kern w:val="2"/>
          <w:sz w:val="32"/>
          <w:szCs w:val="32"/>
          <w:highlight w:val="none"/>
          <w:lang w:val="en-US" w:eastAsia="zh-CN" w:bidi="ar-SA"/>
        </w:rPr>
        <w:t>等一批重大基础设施竣工投用，新建提升城市道路</w:t>
      </w:r>
      <w:r>
        <w:rPr>
          <w:rFonts w:hint="default" w:ascii="Times New Roman" w:hAnsi="Times New Roman" w:cs="Times New Roman"/>
          <w:b w:val="0"/>
          <w:color w:val="auto"/>
          <w:kern w:val="2"/>
          <w:sz w:val="32"/>
          <w:szCs w:val="32"/>
          <w:highlight w:val="none"/>
          <w:lang w:val="en-US" w:eastAsia="zh-CN" w:bidi="ar-SA"/>
        </w:rPr>
        <w:t>21</w:t>
      </w:r>
      <w:r>
        <w:rPr>
          <w:rFonts w:hint="default" w:ascii="Times New Roman" w:hAnsi="Times New Roman" w:eastAsia="仿宋_GB2312" w:cs="Times New Roman"/>
          <w:b w:val="0"/>
          <w:color w:val="auto"/>
          <w:kern w:val="2"/>
          <w:sz w:val="32"/>
          <w:szCs w:val="32"/>
          <w:highlight w:val="none"/>
          <w:lang w:val="en-US" w:eastAsia="zh-CN" w:bidi="ar-SA"/>
        </w:rPr>
        <w:t>条、</w:t>
      </w:r>
      <w:r>
        <w:rPr>
          <w:rFonts w:hint="default" w:ascii="Times New Roman" w:hAnsi="Times New Roman" w:cs="Times New Roman"/>
          <w:b w:val="0"/>
          <w:color w:val="auto"/>
          <w:kern w:val="2"/>
          <w:sz w:val="32"/>
          <w:szCs w:val="32"/>
          <w:highlight w:val="none"/>
          <w:lang w:val="en-US" w:eastAsia="zh-CN" w:bidi="ar-SA"/>
        </w:rPr>
        <w:t>21</w:t>
      </w:r>
      <w:r>
        <w:rPr>
          <w:rFonts w:hint="default" w:ascii="Times New Roman" w:hAnsi="Times New Roman" w:eastAsia="仿宋_GB2312" w:cs="Times New Roman"/>
          <w:b w:val="0"/>
          <w:color w:val="auto"/>
          <w:kern w:val="2"/>
          <w:sz w:val="32"/>
          <w:szCs w:val="32"/>
          <w:highlight w:val="none"/>
          <w:lang w:val="en-US" w:eastAsia="zh-CN" w:bidi="ar-SA"/>
        </w:rPr>
        <w:t>.7公里，铺设供热、燃气、排水管网144公里，智慧供热系统建成使用。</w:t>
      </w:r>
      <w:r>
        <w:rPr>
          <w:rFonts w:hint="default" w:ascii="Times New Roman" w:hAnsi="Times New Roman" w:eastAsia="仿宋_GB2312" w:cs="Times New Roman"/>
          <w:kern w:val="21"/>
          <w:sz w:val="32"/>
          <w:szCs w:val="32"/>
          <w:highlight w:val="none"/>
        </w:rPr>
        <w:t>建成区面积扩大至</w:t>
      </w:r>
      <w:r>
        <w:rPr>
          <w:rFonts w:hint="default" w:ascii="Times New Roman" w:hAnsi="Times New Roman" w:cs="Times New Roman"/>
          <w:kern w:val="21"/>
          <w:sz w:val="32"/>
          <w:szCs w:val="32"/>
          <w:highlight w:val="none"/>
          <w:lang w:val="en-US" w:eastAsia="zh-CN"/>
        </w:rPr>
        <w:t>40.28</w:t>
      </w:r>
      <w:r>
        <w:rPr>
          <w:rFonts w:hint="default" w:ascii="Times New Roman" w:hAnsi="Times New Roman" w:eastAsia="仿宋_GB2312" w:cs="Times New Roman"/>
          <w:kern w:val="21"/>
          <w:sz w:val="32"/>
          <w:szCs w:val="32"/>
          <w:highlight w:val="none"/>
        </w:rPr>
        <w:t>平方公里，</w:t>
      </w:r>
      <w:r>
        <w:rPr>
          <w:rFonts w:hint="default" w:ascii="Times New Roman" w:hAnsi="Times New Roman" w:cs="Times New Roman"/>
          <w:kern w:val="21"/>
          <w:sz w:val="32"/>
          <w:szCs w:val="32"/>
          <w:highlight w:val="none"/>
          <w:lang w:val="en-US" w:eastAsia="zh-CN"/>
        </w:rPr>
        <w:t>预计</w:t>
      </w:r>
      <w:r>
        <w:rPr>
          <w:rFonts w:hint="default" w:ascii="Times New Roman" w:hAnsi="Times New Roman" w:eastAsia="仿宋_GB2312" w:cs="Times New Roman"/>
          <w:kern w:val="21"/>
          <w:sz w:val="32"/>
          <w:szCs w:val="32"/>
          <w:highlight w:val="none"/>
        </w:rPr>
        <w:t>常住人口城镇化率由</w:t>
      </w:r>
      <w:r>
        <w:rPr>
          <w:rFonts w:hint="eastAsia" w:ascii="Times New Roman" w:hAnsi="Times New Roman" w:cs="Times New Roman"/>
          <w:kern w:val="21"/>
          <w:sz w:val="32"/>
          <w:szCs w:val="32"/>
          <w:highlight w:val="none"/>
          <w:lang w:val="en-US" w:eastAsia="zh-CN"/>
        </w:rPr>
        <w:t>69.34</w:t>
      </w:r>
      <w:r>
        <w:rPr>
          <w:rFonts w:hint="default" w:ascii="Times New Roman" w:hAnsi="Times New Roman" w:eastAsia="仿宋_GB2312" w:cs="Times New Roman"/>
          <w:kern w:val="21"/>
          <w:sz w:val="32"/>
          <w:szCs w:val="32"/>
          <w:highlight w:val="none"/>
        </w:rPr>
        <w:t>%提升至</w:t>
      </w:r>
      <w:r>
        <w:rPr>
          <w:rStyle w:val="17"/>
          <w:rFonts w:hint="default" w:ascii="Times New Roman" w:hAnsi="Times New Roman" w:cs="Times New Roman"/>
          <w:i w:val="0"/>
          <w:iCs w:val="0"/>
          <w:color w:val="000000"/>
          <w:kern w:val="21"/>
          <w:sz w:val="32"/>
          <w:szCs w:val="32"/>
          <w:highlight w:val="none"/>
          <w:lang w:val="en-US" w:eastAsia="zh-CN" w:bidi="ar"/>
        </w:rPr>
        <w:t>75.6</w:t>
      </w:r>
      <w:r>
        <w:rPr>
          <w:rFonts w:hint="default" w:ascii="Times New Roman" w:hAnsi="Times New Roman" w:eastAsia="仿宋_GB2312" w:cs="Times New Roman"/>
          <w:kern w:val="21"/>
          <w:sz w:val="32"/>
          <w:szCs w:val="32"/>
          <w:highlight w:val="none"/>
        </w:rPr>
        <w:t>%。</w:t>
      </w:r>
      <w:r>
        <w:rPr>
          <w:rFonts w:hint="default" w:ascii="Times New Roman" w:hAnsi="Times New Roman" w:eastAsia="仿宋_GB2312" w:cs="Times New Roman"/>
          <w:b/>
          <w:bCs/>
          <w:kern w:val="21"/>
          <w:sz w:val="32"/>
          <w:szCs w:val="32"/>
          <w:lang w:val="en-US" w:eastAsia="zh-CN"/>
        </w:rPr>
        <w:t>城市管理更加精细。</w:t>
      </w:r>
      <w:r>
        <w:rPr>
          <w:rFonts w:hint="default" w:ascii="Times New Roman" w:hAnsi="Times New Roman" w:eastAsia="仿宋_GB2312" w:cs="Times New Roman"/>
          <w:b w:val="0"/>
          <w:bCs w:val="0"/>
          <w:color w:val="auto"/>
          <w:kern w:val="2"/>
          <w:sz w:val="32"/>
          <w:szCs w:val="32"/>
          <w:highlight w:val="none"/>
        </w:rPr>
        <w:t>“十四五”时期，</w:t>
      </w:r>
      <w:r>
        <w:rPr>
          <w:rFonts w:hint="default" w:ascii="Times New Roman" w:hAnsi="Times New Roman" w:eastAsia="仿宋_GB2312" w:cs="Times New Roman"/>
          <w:b w:val="0"/>
          <w:bCs w:val="0"/>
          <w:color w:val="auto"/>
          <w:kern w:val="2"/>
          <w:sz w:val="32"/>
          <w:szCs w:val="32"/>
          <w:highlight w:val="none"/>
          <w:lang w:val="en-US" w:eastAsia="zh-CN" w:bidi="ar-SA"/>
        </w:rPr>
        <w:t>潘庄、何庄、天山路二期、西巨山二期、来泉5处棚改安置工程竣工交付</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cs="Times New Roman"/>
          <w:b w:val="0"/>
          <w:bCs w:val="0"/>
          <w:color w:val="auto"/>
          <w:kern w:val="2"/>
          <w:sz w:val="32"/>
          <w:szCs w:val="32"/>
          <w:highlight w:val="none"/>
          <w:lang w:val="en-US" w:eastAsia="zh-CN"/>
        </w:rPr>
        <w:t>496</w:t>
      </w:r>
      <w:r>
        <w:rPr>
          <w:rFonts w:hint="eastAsia" w:ascii="Times New Roman" w:hAnsi="Times New Roman" w:cs="Times New Roman"/>
          <w:b w:val="0"/>
          <w:bCs w:val="0"/>
          <w:color w:val="auto"/>
          <w:kern w:val="2"/>
          <w:sz w:val="32"/>
          <w:szCs w:val="32"/>
          <w:highlight w:val="none"/>
          <w:lang w:val="en-US" w:eastAsia="zh-CN"/>
        </w:rPr>
        <w:t>0</w:t>
      </w:r>
      <w:r>
        <w:rPr>
          <w:rFonts w:hint="default" w:ascii="Times New Roman" w:hAnsi="Times New Roman" w:eastAsia="仿宋_GB2312" w:cs="Times New Roman"/>
          <w:b w:val="0"/>
          <w:bCs w:val="0"/>
          <w:color w:val="auto"/>
          <w:kern w:val="2"/>
          <w:sz w:val="32"/>
          <w:szCs w:val="32"/>
          <w:highlight w:val="none"/>
        </w:rPr>
        <w:t>户居民实现“出棚进楼”</w:t>
      </w:r>
      <w:r>
        <w:rPr>
          <w:rFonts w:hint="default" w:ascii="Times New Roman" w:hAnsi="Times New Roman" w:cs="Times New Roman"/>
          <w:b w:val="0"/>
          <w:bCs w:val="0"/>
          <w:color w:val="auto"/>
          <w:kern w:val="2"/>
          <w:sz w:val="32"/>
          <w:szCs w:val="32"/>
          <w:highlight w:val="none"/>
          <w:lang w:eastAsia="zh-CN"/>
        </w:rPr>
        <w:t>。</w:t>
      </w:r>
      <w:r>
        <w:rPr>
          <w:rFonts w:hint="default" w:ascii="Times New Roman" w:hAnsi="Times New Roman" w:eastAsia="仿宋_GB2312" w:cs="Times New Roman"/>
          <w:b w:val="0"/>
          <w:bCs w:val="0"/>
          <w:color w:val="auto"/>
          <w:kern w:val="2"/>
          <w:sz w:val="32"/>
          <w:szCs w:val="32"/>
          <w:highlight w:val="none"/>
        </w:rPr>
        <w:t>改造</w:t>
      </w:r>
      <w:r>
        <w:rPr>
          <w:rFonts w:hint="eastAsia" w:ascii="Times New Roman" w:hAnsi="Times New Roman" w:cs="Times New Roman"/>
          <w:b w:val="0"/>
          <w:bCs w:val="0"/>
          <w:color w:val="auto"/>
          <w:kern w:val="2"/>
          <w:sz w:val="32"/>
          <w:szCs w:val="32"/>
          <w:highlight w:val="none"/>
          <w:lang w:val="en-US" w:eastAsia="zh-CN"/>
        </w:rPr>
        <w:t>提升</w:t>
      </w:r>
      <w:r>
        <w:rPr>
          <w:rFonts w:hint="default" w:ascii="Times New Roman" w:hAnsi="Times New Roman" w:eastAsia="仿宋_GB2312" w:cs="Times New Roman"/>
          <w:b w:val="0"/>
          <w:bCs w:val="0"/>
          <w:color w:val="auto"/>
          <w:kern w:val="2"/>
          <w:sz w:val="32"/>
          <w:szCs w:val="32"/>
          <w:highlight w:val="none"/>
        </w:rPr>
        <w:t>老旧小区</w:t>
      </w:r>
      <w:r>
        <w:rPr>
          <w:rFonts w:hint="eastAsia" w:ascii="Times New Roman" w:hAnsi="Times New Roman" w:cs="Times New Roman"/>
          <w:b w:val="0"/>
          <w:bCs w:val="0"/>
          <w:color w:val="auto"/>
          <w:kern w:val="2"/>
          <w:sz w:val="32"/>
          <w:szCs w:val="32"/>
          <w:highlight w:val="none"/>
          <w:lang w:val="en-US" w:eastAsia="zh-CN"/>
        </w:rPr>
        <w:t>219</w:t>
      </w:r>
      <w:r>
        <w:rPr>
          <w:rFonts w:hint="default" w:ascii="Times New Roman" w:hAnsi="Times New Roman" w:eastAsia="仿宋_GB2312" w:cs="Times New Roman"/>
          <w:b w:val="0"/>
          <w:bCs w:val="0"/>
          <w:color w:val="auto"/>
          <w:kern w:val="2"/>
          <w:sz w:val="32"/>
          <w:szCs w:val="32"/>
          <w:highlight w:val="none"/>
        </w:rPr>
        <w:t>个，</w:t>
      </w:r>
      <w:r>
        <w:rPr>
          <w:rFonts w:hint="default" w:ascii="Times New Roman" w:hAnsi="Times New Roman" w:cs="Times New Roman"/>
          <w:b w:val="0"/>
          <w:bCs w:val="0"/>
          <w:color w:val="auto"/>
          <w:kern w:val="2"/>
          <w:sz w:val="32"/>
          <w:szCs w:val="32"/>
          <w:highlight w:val="none"/>
          <w:lang w:val="en-US" w:eastAsia="zh-CN"/>
        </w:rPr>
        <w:t>2005年前建成的小区全部完成改造，</w:t>
      </w:r>
      <w:r>
        <w:rPr>
          <w:rFonts w:hint="default" w:ascii="Times New Roman" w:hAnsi="Times New Roman" w:eastAsia="仿宋_GB2312" w:cs="Times New Roman"/>
          <w:b w:val="0"/>
          <w:bCs w:val="0"/>
          <w:color w:val="auto"/>
          <w:kern w:val="2"/>
          <w:sz w:val="32"/>
          <w:szCs w:val="32"/>
          <w:highlight w:val="none"/>
        </w:rPr>
        <w:t>惠及居民超</w:t>
      </w:r>
      <w:r>
        <w:rPr>
          <w:rFonts w:hint="eastAsia" w:ascii="Times New Roman" w:hAnsi="Times New Roman" w:cs="Times New Roman"/>
          <w:b w:val="0"/>
          <w:bCs w:val="0"/>
          <w:color w:val="auto"/>
          <w:kern w:val="2"/>
          <w:sz w:val="32"/>
          <w:szCs w:val="32"/>
          <w:highlight w:val="none"/>
          <w:lang w:val="en-US" w:eastAsia="zh-CN"/>
        </w:rPr>
        <w:t>11.5</w:t>
      </w:r>
      <w:r>
        <w:rPr>
          <w:rFonts w:hint="default" w:ascii="Times New Roman" w:hAnsi="Times New Roman" w:eastAsia="仿宋_GB2312" w:cs="Times New Roman"/>
          <w:b w:val="0"/>
          <w:bCs w:val="0"/>
          <w:color w:val="auto"/>
          <w:kern w:val="2"/>
          <w:sz w:val="32"/>
          <w:szCs w:val="32"/>
          <w:highlight w:val="none"/>
        </w:rPr>
        <w:t>万户</w:t>
      </w:r>
      <w:r>
        <w:rPr>
          <w:rFonts w:hint="default" w:ascii="Times New Roman" w:hAnsi="Times New Roman" w:cs="Times New Roman"/>
          <w:b w:val="0"/>
          <w:bCs w:val="0"/>
          <w:color w:val="auto"/>
          <w:kern w:val="2"/>
          <w:sz w:val="32"/>
          <w:szCs w:val="32"/>
          <w:highlight w:val="none"/>
          <w:lang w:eastAsia="zh-CN"/>
        </w:rPr>
        <w:t>。</w:t>
      </w:r>
      <w:r>
        <w:rPr>
          <w:rFonts w:hint="default" w:ascii="Times New Roman" w:hAnsi="Times New Roman" w:eastAsia="仿宋_GB2312" w:cs="Times New Roman"/>
          <w:b w:val="0"/>
          <w:bCs w:val="0"/>
          <w:color w:val="auto"/>
          <w:kern w:val="2"/>
          <w:sz w:val="32"/>
          <w:szCs w:val="32"/>
          <w:highlight w:val="none"/>
        </w:rPr>
        <w:t>完成钱江市场、财富大世界等重点区域改造升级，清泉市场、</w:t>
      </w:r>
      <w:r>
        <w:rPr>
          <w:rFonts w:hint="default" w:ascii="Times New Roman" w:hAnsi="Times New Roman" w:cs="Times New Roman"/>
          <w:b w:val="0"/>
          <w:bCs w:val="0"/>
          <w:color w:val="auto"/>
          <w:kern w:val="2"/>
          <w:sz w:val="32"/>
          <w:szCs w:val="32"/>
          <w:highlight w:val="none"/>
          <w:lang w:val="en-US" w:eastAsia="zh-CN"/>
        </w:rPr>
        <w:t>东山</w:t>
      </w:r>
      <w:r>
        <w:rPr>
          <w:rFonts w:hint="default" w:ascii="Times New Roman" w:hAnsi="Times New Roman" w:eastAsia="仿宋_GB2312" w:cs="Times New Roman"/>
          <w:b w:val="0"/>
          <w:bCs w:val="0"/>
          <w:color w:val="auto"/>
          <w:kern w:val="2"/>
          <w:sz w:val="32"/>
          <w:szCs w:val="32"/>
          <w:highlight w:val="none"/>
        </w:rPr>
        <w:t>市场投入使用</w:t>
      </w:r>
      <w:r>
        <w:rPr>
          <w:rFonts w:hint="default" w:ascii="Times New Roman" w:hAnsi="Times New Roman" w:cs="Times New Roman"/>
          <w:b w:val="0"/>
          <w:bCs w:val="0"/>
          <w:color w:val="auto"/>
          <w:kern w:val="2"/>
          <w:sz w:val="32"/>
          <w:szCs w:val="32"/>
          <w:highlight w:val="none"/>
          <w:lang w:eastAsia="zh-CN"/>
        </w:rPr>
        <w:t>。</w:t>
      </w:r>
      <w:r>
        <w:rPr>
          <w:rFonts w:hint="default" w:ascii="Times New Roman" w:hAnsi="Times New Roman" w:eastAsia="仿宋_GB2312" w:cs="Times New Roman"/>
          <w:b w:val="0"/>
          <w:bCs w:val="0"/>
          <w:kern w:val="21"/>
          <w:sz w:val="32"/>
          <w:szCs w:val="32"/>
        </w:rPr>
        <w:t>小沙河片区入选省级城市更新试点，龙潭公园片区城市品质提升经验在全省推广。</w:t>
      </w:r>
      <w:r>
        <w:rPr>
          <w:rFonts w:hint="default" w:ascii="Times New Roman" w:hAnsi="Times New Roman" w:cs="Times New Roman"/>
          <w:b w:val="0"/>
          <w:bCs w:val="0"/>
          <w:kern w:val="21"/>
          <w:sz w:val="32"/>
          <w:szCs w:val="32"/>
          <w:lang w:val="en-US" w:eastAsia="zh-CN"/>
        </w:rPr>
        <w:t>深化“一把扫帚扫全城”，</w:t>
      </w:r>
      <w:r>
        <w:rPr>
          <w:rFonts w:hint="default" w:ascii="Times New Roman" w:hAnsi="Times New Roman" w:eastAsia="仿宋_GB2312" w:cs="Times New Roman"/>
          <w:b w:val="0"/>
          <w:bCs/>
          <w:i w:val="0"/>
          <w:iCs w:val="0"/>
          <w:color w:val="auto"/>
          <w:spacing w:val="0"/>
          <w:sz w:val="32"/>
          <w:szCs w:val="32"/>
          <w:highlight w:val="none"/>
          <w:u w:val="none" w:color="auto"/>
          <w:lang w:val="en-US" w:eastAsia="zh-CN"/>
        </w:rPr>
        <w:t>持续开展市容市貌、交通秩序等专项整治</w:t>
      </w:r>
      <w:r>
        <w:rPr>
          <w:rFonts w:hint="default" w:ascii="Times New Roman" w:hAnsi="Times New Roman" w:cs="Times New Roman"/>
          <w:b w:val="0"/>
          <w:bCs/>
          <w:i w:val="0"/>
          <w:iCs w:val="0"/>
          <w:color w:val="auto"/>
          <w:spacing w:val="0"/>
          <w:sz w:val="32"/>
          <w:szCs w:val="32"/>
          <w:highlight w:val="none"/>
          <w:u w:val="none" w:color="auto"/>
          <w:lang w:val="en-US" w:eastAsia="zh-CN"/>
        </w:rPr>
        <w:t>，城市面貌不断焕新。</w:t>
      </w:r>
      <w:r>
        <w:rPr>
          <w:rFonts w:hint="default" w:ascii="Times New Roman" w:hAnsi="Times New Roman" w:eastAsia="仿宋_GB2312" w:cs="Times New Roman"/>
          <w:b w:val="0"/>
          <w:color w:val="auto"/>
          <w:kern w:val="2"/>
          <w:sz w:val="32"/>
          <w:szCs w:val="32"/>
          <w:highlight w:val="none"/>
          <w:lang w:val="en-US" w:eastAsia="zh-CN" w:bidi="ar-SA"/>
        </w:rPr>
        <w:t>小沙河体育公园、龟山公园、凤鸣湖公园、凤凰绿道等一批公园绿地建成开放，城区绿化覆盖率由2020年的43.9%提升至56.3%。</w:t>
      </w:r>
      <w:r>
        <w:rPr>
          <w:rFonts w:hint="default" w:ascii="Times New Roman" w:hAnsi="Times New Roman" w:eastAsia="仿宋_GB2312" w:cs="Times New Roman"/>
          <w:b/>
          <w:bCs/>
          <w:kern w:val="21"/>
          <w:sz w:val="32"/>
          <w:szCs w:val="32"/>
        </w:rPr>
        <w:t>都市经济活力迸发</w:t>
      </w:r>
      <w:r>
        <w:rPr>
          <w:rFonts w:hint="default" w:ascii="Times New Roman" w:hAnsi="Times New Roman" w:cs="Times New Roman"/>
          <w:b/>
          <w:bCs/>
          <w:kern w:val="21"/>
          <w:sz w:val="32"/>
          <w:szCs w:val="32"/>
          <w:lang w:eastAsia="zh-CN"/>
        </w:rPr>
        <w:t>。</w:t>
      </w:r>
      <w:r>
        <w:rPr>
          <w:rFonts w:hint="default" w:ascii="Times New Roman" w:hAnsi="Times New Roman" w:eastAsia="仿宋_GB2312" w:cs="Times New Roman"/>
          <w:kern w:val="2"/>
          <w:sz w:val="32"/>
          <w:szCs w:val="24"/>
        </w:rPr>
        <w:t>现代物流</w:t>
      </w:r>
      <w:r>
        <w:rPr>
          <w:rFonts w:hint="default" w:ascii="Times New Roman" w:hAnsi="Times New Roman" w:cs="Times New Roman"/>
          <w:kern w:val="2"/>
          <w:sz w:val="32"/>
          <w:szCs w:val="24"/>
          <w:lang w:val="en-US" w:eastAsia="zh-CN"/>
        </w:rPr>
        <w:t>快速发展</w:t>
      </w:r>
      <w:r>
        <w:rPr>
          <w:rFonts w:hint="default" w:ascii="Times New Roman" w:hAnsi="Times New Roman" w:eastAsia="仿宋_GB2312" w:cs="Times New Roman"/>
          <w:kern w:val="2"/>
          <w:sz w:val="32"/>
          <w:szCs w:val="24"/>
        </w:rPr>
        <w:t>，</w:t>
      </w:r>
      <w:r>
        <w:rPr>
          <w:rFonts w:hint="default" w:ascii="Times New Roman" w:hAnsi="Times New Roman" w:eastAsia="仿宋_GB2312" w:cs="Times New Roman"/>
          <w:b w:val="0"/>
          <w:color w:val="auto"/>
          <w:kern w:val="2"/>
          <w:sz w:val="32"/>
          <w:szCs w:val="24"/>
          <w:highlight w:val="none"/>
          <w:lang w:val="en-US" w:eastAsia="zh-CN" w:bidi="ar-SA"/>
        </w:rPr>
        <w:t>长河港业铁路专用线建成</w:t>
      </w:r>
      <w:r>
        <w:rPr>
          <w:rFonts w:hint="default" w:ascii="Times New Roman" w:hAnsi="Times New Roman" w:cs="Times New Roman"/>
          <w:b w:val="0"/>
          <w:color w:val="auto"/>
          <w:kern w:val="2"/>
          <w:sz w:val="32"/>
          <w:szCs w:val="24"/>
          <w:highlight w:val="none"/>
          <w:lang w:val="en-US" w:eastAsia="zh-CN" w:bidi="ar-SA"/>
        </w:rPr>
        <w:t>使用</w:t>
      </w:r>
      <w:r>
        <w:rPr>
          <w:rFonts w:hint="default" w:ascii="Times New Roman" w:hAnsi="Times New Roman" w:eastAsia="仿宋_GB2312" w:cs="Times New Roman"/>
          <w:b w:val="0"/>
          <w:color w:val="auto"/>
          <w:kern w:val="2"/>
          <w:sz w:val="32"/>
          <w:szCs w:val="24"/>
          <w:highlight w:val="none"/>
          <w:lang w:val="en-US" w:eastAsia="zh-CN" w:bidi="ar-SA"/>
        </w:rPr>
        <w:t>，枣庄港泊位改造提升成为交通强国专项试点首个竣工项目，</w:t>
      </w:r>
      <w:r>
        <w:rPr>
          <w:rFonts w:hint="default" w:ascii="Times New Roman" w:hAnsi="Times New Roman" w:cs="Times New Roman"/>
          <w:kern w:val="2"/>
          <w:sz w:val="32"/>
          <w:szCs w:val="24"/>
          <w:lang w:val="en-US" w:eastAsia="zh-CN"/>
        </w:rPr>
        <w:t>年货物吞吐能力达</w:t>
      </w:r>
      <w:r>
        <w:rPr>
          <w:rFonts w:hint="default" w:ascii="Times New Roman" w:hAnsi="Times New Roman" w:cs="Times New Roman"/>
          <w:color w:val="auto"/>
          <w:kern w:val="2"/>
          <w:sz w:val="32"/>
          <w:szCs w:val="32"/>
          <w:highlight w:val="none"/>
          <w:lang w:val="en-US" w:eastAsia="zh-CN"/>
        </w:rPr>
        <w:t>到800万吨</w:t>
      </w:r>
      <w:r>
        <w:rPr>
          <w:rFonts w:hint="default" w:ascii="Times New Roman" w:hAnsi="Times New Roman" w:cs="Times New Roman"/>
          <w:kern w:val="2"/>
          <w:sz w:val="32"/>
          <w:szCs w:val="24"/>
          <w:lang w:val="en-US" w:eastAsia="zh-CN"/>
        </w:rPr>
        <w:t>。</w:t>
      </w:r>
      <w:r>
        <w:rPr>
          <w:rFonts w:hint="default" w:ascii="Times New Roman" w:hAnsi="Times New Roman" w:eastAsia="仿宋_GB2312" w:cs="Times New Roman"/>
          <w:kern w:val="2"/>
          <w:sz w:val="32"/>
          <w:szCs w:val="24"/>
        </w:rPr>
        <w:t>京东（枣庄）智慧物流港</w:t>
      </w:r>
      <w:r>
        <w:rPr>
          <w:rFonts w:hint="default" w:ascii="Times New Roman" w:hAnsi="Times New Roman" w:cs="Times New Roman"/>
          <w:kern w:val="2"/>
          <w:sz w:val="32"/>
          <w:szCs w:val="24"/>
          <w:lang w:val="en-US" w:eastAsia="zh-CN"/>
        </w:rPr>
        <w:t>一期、</w:t>
      </w:r>
      <w:r>
        <w:rPr>
          <w:rFonts w:hint="default" w:ascii="Times New Roman" w:hAnsi="Times New Roman" w:cs="Times New Roman"/>
          <w:lang w:val="en-US" w:eastAsia="zh-CN"/>
        </w:rPr>
        <w:t>乡村智慧仓储物流</w:t>
      </w:r>
      <w:r>
        <w:rPr>
          <w:rFonts w:hint="default" w:ascii="Times New Roman" w:hAnsi="Times New Roman" w:cs="Times New Roman"/>
          <w:kern w:val="2"/>
          <w:sz w:val="32"/>
          <w:szCs w:val="24"/>
          <w:lang w:val="en-US" w:eastAsia="zh-CN"/>
        </w:rPr>
        <w:t>等现代物流项目投入</w:t>
      </w:r>
      <w:r>
        <w:rPr>
          <w:rFonts w:hint="default" w:ascii="Times New Roman" w:hAnsi="Times New Roman" w:eastAsia="仿宋_GB2312" w:cs="Times New Roman"/>
          <w:kern w:val="2"/>
          <w:sz w:val="32"/>
          <w:szCs w:val="24"/>
        </w:rPr>
        <w:t>运营</w:t>
      </w:r>
      <w:r>
        <w:rPr>
          <w:rFonts w:hint="default" w:ascii="Times New Roman" w:hAnsi="Times New Roman" w:cs="Times New Roman"/>
          <w:lang w:val="en-US" w:eastAsia="zh-CN"/>
        </w:rPr>
        <w:t>，</w:t>
      </w:r>
      <w:r>
        <w:rPr>
          <w:rFonts w:hint="default" w:ascii="Times New Roman" w:hAnsi="Times New Roman" w:eastAsia="仿宋_GB2312" w:cs="Times New Roman"/>
          <w:b w:val="0"/>
          <w:color w:val="auto"/>
          <w:kern w:val="2"/>
          <w:sz w:val="32"/>
          <w:szCs w:val="24"/>
          <w:highlight w:val="none"/>
          <w:lang w:val="en-US" w:eastAsia="zh-CN" w:bidi="ar-SA"/>
        </w:rPr>
        <w:t>创新枣庄内陆港“陆海联动、海铁直运”通关模式，获批国家跨境电商综合试验区</w:t>
      </w:r>
      <w:r>
        <w:rPr>
          <w:rFonts w:hint="default" w:ascii="Times New Roman" w:hAnsi="Times New Roman" w:cs="Times New Roman"/>
          <w:b w:val="0"/>
          <w:color w:val="auto"/>
          <w:kern w:val="2"/>
          <w:sz w:val="32"/>
          <w:szCs w:val="24"/>
          <w:highlight w:val="none"/>
          <w:lang w:val="en-US" w:eastAsia="zh-CN" w:bidi="ar-SA"/>
        </w:rPr>
        <w:t>。</w:t>
      </w:r>
      <w:r>
        <w:rPr>
          <w:rFonts w:hint="default" w:ascii="Times New Roman" w:hAnsi="Times New Roman" w:eastAsia="仿宋_GB2312" w:cs="Times New Roman"/>
          <w:kern w:val="2"/>
          <w:sz w:val="32"/>
          <w:szCs w:val="24"/>
        </w:rPr>
        <w:t>文旅</w:t>
      </w:r>
      <w:r>
        <w:rPr>
          <w:rFonts w:hint="default" w:ascii="Times New Roman" w:hAnsi="Times New Roman" w:cs="Times New Roman"/>
          <w:kern w:val="2"/>
          <w:sz w:val="32"/>
          <w:szCs w:val="24"/>
          <w:lang w:val="en-US" w:eastAsia="zh-CN"/>
        </w:rPr>
        <w:t>产业蓬勃发展，</w:t>
      </w:r>
      <w:r>
        <w:rPr>
          <w:rFonts w:hint="default" w:ascii="Times New Roman" w:hAnsi="Times New Roman" w:eastAsia="仿宋_GB2312" w:cs="Times New Roman"/>
          <w:b w:val="0"/>
          <w:color w:val="auto"/>
          <w:kern w:val="2"/>
          <w:sz w:val="32"/>
          <w:szCs w:val="24"/>
          <w:highlight w:val="none"/>
          <w:lang w:val="en-US" w:eastAsia="zh-CN" w:bidi="ar-SA"/>
        </w:rPr>
        <w:t>铁道游击队红色文化体验基地焕新升级，北方微短剧基地挂牌成立，铁道游击队纪念园获评省级研学旅游基地品质提升试点单位，临城老街入选省非遗特色街区推荐名单</w:t>
      </w:r>
      <w:r>
        <w:rPr>
          <w:rFonts w:hint="default" w:ascii="Times New Roman" w:hAnsi="Times New Roman" w:cs="Times New Roman"/>
          <w:b w:val="0"/>
          <w:color w:val="auto"/>
          <w:kern w:val="2"/>
          <w:sz w:val="32"/>
          <w:szCs w:val="24"/>
          <w:highlight w:val="none"/>
          <w:lang w:val="en-US" w:eastAsia="zh-CN" w:bidi="ar-SA"/>
        </w:rPr>
        <w:t>，</w:t>
      </w:r>
      <w:r>
        <w:rPr>
          <w:rFonts w:hint="default" w:ascii="Times New Roman" w:hAnsi="Times New Roman" w:eastAsia="仿宋_GB2312" w:cs="Times New Roman"/>
          <w:b w:val="0"/>
          <w:color w:val="auto"/>
          <w:kern w:val="2"/>
          <w:sz w:val="32"/>
          <w:szCs w:val="24"/>
          <w:highlight w:val="none"/>
          <w:lang w:val="en-US" w:eastAsia="zh-CN" w:bidi="ar-SA"/>
        </w:rPr>
        <w:t>举办演唱会等演艺赛事活动</w:t>
      </w:r>
      <w:r>
        <w:rPr>
          <w:rFonts w:hint="default" w:ascii="Times New Roman" w:hAnsi="Times New Roman" w:cs="Times New Roman"/>
          <w:kern w:val="2"/>
          <w:sz w:val="32"/>
          <w:szCs w:val="24"/>
          <w:lang w:val="en-US" w:eastAsia="zh-CN"/>
        </w:rPr>
        <w:t>13</w:t>
      </w:r>
      <w:r>
        <w:rPr>
          <w:rFonts w:hint="default" w:ascii="Times New Roman" w:hAnsi="Times New Roman" w:eastAsia="仿宋_GB2312" w:cs="Times New Roman"/>
          <w:b w:val="0"/>
          <w:color w:val="auto"/>
          <w:kern w:val="2"/>
          <w:sz w:val="32"/>
          <w:szCs w:val="24"/>
          <w:highlight w:val="none"/>
          <w:lang w:val="en-US" w:eastAsia="zh-CN" w:bidi="ar-SA"/>
        </w:rPr>
        <w:t>场，吸引观众</w:t>
      </w:r>
      <w:r>
        <w:rPr>
          <w:rFonts w:hint="default" w:ascii="Times New Roman" w:hAnsi="Times New Roman" w:cs="Times New Roman"/>
          <w:kern w:val="2"/>
          <w:sz w:val="32"/>
          <w:szCs w:val="24"/>
          <w:highlight w:val="none"/>
          <w:lang w:val="en-US" w:eastAsia="zh-CN"/>
        </w:rPr>
        <w:t>18</w:t>
      </w:r>
      <w:r>
        <w:rPr>
          <w:rFonts w:hint="default" w:ascii="Times New Roman" w:hAnsi="Times New Roman" w:eastAsia="仿宋_GB2312" w:cs="Times New Roman"/>
          <w:b w:val="0"/>
          <w:color w:val="auto"/>
          <w:kern w:val="2"/>
          <w:sz w:val="32"/>
          <w:szCs w:val="24"/>
          <w:highlight w:val="none"/>
          <w:lang w:val="en-US" w:eastAsia="zh-CN" w:bidi="ar-SA"/>
        </w:rPr>
        <w:t>万余人次，我区入选省红色旅游融合发展区培育单位、省促进体育消费和赛事经济试点。</w:t>
      </w:r>
      <w:r>
        <w:rPr>
          <w:rFonts w:hint="default" w:ascii="Times New Roman" w:hAnsi="Times New Roman" w:eastAsia="仿宋_GB2312" w:cs="Times New Roman"/>
          <w:kern w:val="2"/>
          <w:sz w:val="32"/>
          <w:szCs w:val="24"/>
        </w:rPr>
        <w:t>高端商贸</w:t>
      </w:r>
      <w:r>
        <w:rPr>
          <w:rFonts w:hint="default" w:ascii="Times New Roman" w:hAnsi="Times New Roman" w:cs="Times New Roman"/>
          <w:kern w:val="2"/>
          <w:sz w:val="32"/>
          <w:szCs w:val="24"/>
          <w:lang w:val="en-US" w:eastAsia="zh-CN"/>
        </w:rPr>
        <w:t>活力显现</w:t>
      </w:r>
      <w:r>
        <w:rPr>
          <w:rFonts w:hint="default" w:ascii="Times New Roman" w:hAnsi="Times New Roman" w:eastAsia="仿宋_GB2312" w:cs="Times New Roman"/>
          <w:kern w:val="2"/>
          <w:sz w:val="32"/>
          <w:szCs w:val="24"/>
        </w:rPr>
        <w:t>，双子星城市广场建成开放，万达</w:t>
      </w:r>
      <w:r>
        <w:rPr>
          <w:rFonts w:hint="default" w:ascii="Times New Roman" w:hAnsi="Times New Roman" w:cs="Times New Roman"/>
          <w:kern w:val="2"/>
          <w:sz w:val="32"/>
          <w:szCs w:val="24"/>
          <w:lang w:val="en-US" w:eastAsia="zh-CN"/>
        </w:rPr>
        <w:t>广场</w:t>
      </w:r>
      <w:r>
        <w:rPr>
          <w:rFonts w:hint="default" w:ascii="Times New Roman" w:hAnsi="Times New Roman" w:cs="Times New Roman"/>
          <w:kern w:val="2"/>
          <w:sz w:val="32"/>
          <w:szCs w:val="24"/>
          <w:lang w:eastAsia="zh-CN"/>
        </w:rPr>
        <w:t>、</w:t>
      </w:r>
      <w:r>
        <w:rPr>
          <w:rFonts w:hint="default" w:ascii="Times New Roman" w:hAnsi="Times New Roman" w:cs="Times New Roman"/>
          <w:kern w:val="2"/>
          <w:sz w:val="32"/>
          <w:szCs w:val="24"/>
          <w:lang w:val="en-US" w:eastAsia="zh-CN"/>
        </w:rPr>
        <w:t>银座商城</w:t>
      </w:r>
      <w:r>
        <w:rPr>
          <w:rFonts w:hint="default" w:ascii="Times New Roman" w:hAnsi="Times New Roman" w:eastAsia="仿宋_GB2312" w:cs="Times New Roman"/>
          <w:kern w:val="2"/>
          <w:sz w:val="32"/>
          <w:szCs w:val="24"/>
        </w:rPr>
        <w:t>等商业载体业态升级，引进蓝海国际大饭店、范思哲、阿玛尼等名品名店</w:t>
      </w:r>
      <w:r>
        <w:rPr>
          <w:rFonts w:hint="default" w:ascii="Times New Roman" w:hAnsi="Times New Roman" w:cs="Times New Roman"/>
          <w:kern w:val="2"/>
          <w:sz w:val="32"/>
          <w:szCs w:val="24"/>
          <w:lang w:val="en-US" w:eastAsia="zh-CN"/>
        </w:rPr>
        <w:t>400余</w:t>
      </w:r>
      <w:r>
        <w:rPr>
          <w:rFonts w:hint="default" w:ascii="Times New Roman" w:hAnsi="Times New Roman" w:eastAsia="仿宋_GB2312" w:cs="Times New Roman"/>
          <w:kern w:val="2"/>
          <w:sz w:val="32"/>
          <w:szCs w:val="24"/>
        </w:rPr>
        <w:t>家。</w:t>
      </w:r>
    </w:p>
    <w:p w14:paraId="5CEA9E59">
      <w:pPr>
        <w:keepNext w:val="0"/>
        <w:keepLines w:val="0"/>
        <w:pageBreakBefore w:val="0"/>
        <w:widowControl w:val="0"/>
        <w:suppressLineNumbers w:val="0"/>
        <w:kinsoku/>
        <w:wordWrap/>
        <w:overflowPunct/>
        <w:topLinePunct w:val="0"/>
        <w:autoSpaceDE/>
        <w:autoSpaceDN/>
        <w:bidi w:val="0"/>
        <w:adjustRightInd w:val="0"/>
        <w:snapToGrid w:val="0"/>
        <w:spacing w:line="580" w:lineRule="exact"/>
        <w:ind w:firstLine="640"/>
        <w:jc w:val="both"/>
        <w:textAlignment w:val="auto"/>
        <w:outlineLvl w:val="9"/>
        <w:rPr>
          <w:rFonts w:hint="default" w:ascii="Times New Roman" w:hAnsi="Times New Roman" w:cs="Times New Roman"/>
        </w:rPr>
      </w:pPr>
      <w:r>
        <w:rPr>
          <w:rFonts w:hint="default" w:ascii="楷体_GB2312" w:hAnsi="楷体_GB2312" w:eastAsia="楷体_GB2312" w:cs="楷体_GB2312"/>
          <w:kern w:val="21"/>
          <w:sz w:val="32"/>
          <w:szCs w:val="32"/>
          <w:highlight w:val="none"/>
        </w:rPr>
        <w:t>乡村振兴</w:t>
      </w:r>
      <w:r>
        <w:rPr>
          <w:rFonts w:hint="default" w:ascii="楷体_GB2312" w:hAnsi="楷体_GB2312" w:eastAsia="楷体_GB2312" w:cs="楷体_GB2312"/>
          <w:kern w:val="21"/>
          <w:sz w:val="32"/>
          <w:szCs w:val="32"/>
          <w:highlight w:val="none"/>
          <w:lang w:val="en-US" w:eastAsia="zh-CN"/>
        </w:rPr>
        <w:t>成效显著。</w:t>
      </w:r>
      <w:r>
        <w:rPr>
          <w:rFonts w:hint="default" w:ascii="Times New Roman" w:hAnsi="Times New Roman" w:eastAsia="仿宋_GB2312" w:cs="Times New Roman"/>
          <w:b/>
          <w:bCs/>
          <w:kern w:val="21"/>
          <w:sz w:val="32"/>
          <w:szCs w:val="32"/>
        </w:rPr>
        <w:t>农业现代化水平显著提升。</w:t>
      </w:r>
      <w:r>
        <w:rPr>
          <w:rFonts w:hint="default" w:ascii="Times New Roman" w:hAnsi="Times New Roman" w:eastAsia="仿宋_GB2312" w:cs="Times New Roman"/>
          <w:b w:val="0"/>
          <w:bCs w:val="0"/>
          <w:snapToGrid/>
          <w:color w:val="auto"/>
          <w:kern w:val="2"/>
          <w:sz w:val="32"/>
          <w:szCs w:val="24"/>
          <w:highlight w:val="none"/>
          <w:u w:val="none" w:color="auto"/>
        </w:rPr>
        <w:t>建成高标准农田</w:t>
      </w:r>
      <w:r>
        <w:rPr>
          <w:rFonts w:hint="eastAsia" w:ascii="Times New Roman" w:hAnsi="Times New Roman" w:cs="Times New Roman"/>
          <w:b w:val="0"/>
          <w:bCs w:val="0"/>
          <w:snapToGrid/>
          <w:color w:val="auto"/>
          <w:kern w:val="2"/>
          <w:sz w:val="32"/>
          <w:szCs w:val="24"/>
          <w:highlight w:val="none"/>
          <w:u w:val="none" w:color="auto"/>
          <w:lang w:val="en-US" w:eastAsia="zh-CN"/>
        </w:rPr>
        <w:t>11.7</w:t>
      </w:r>
      <w:r>
        <w:rPr>
          <w:rFonts w:hint="default" w:ascii="Times New Roman" w:hAnsi="Times New Roman" w:eastAsia="仿宋_GB2312" w:cs="Times New Roman"/>
          <w:b w:val="0"/>
          <w:bCs w:val="0"/>
          <w:snapToGrid/>
          <w:color w:val="auto"/>
          <w:kern w:val="2"/>
          <w:sz w:val="32"/>
          <w:szCs w:val="24"/>
          <w:highlight w:val="none"/>
          <w:u w:val="none" w:color="auto"/>
        </w:rPr>
        <w:t>万亩，粮食产量稳定在</w:t>
      </w:r>
      <w:r>
        <w:rPr>
          <w:rFonts w:hint="default" w:ascii="Times New Roman" w:hAnsi="Times New Roman" w:cs="Times New Roman"/>
          <w:b w:val="0"/>
          <w:bCs w:val="0"/>
          <w:snapToGrid/>
          <w:color w:val="auto"/>
          <w:kern w:val="2"/>
          <w:sz w:val="32"/>
          <w:szCs w:val="24"/>
          <w:highlight w:val="none"/>
          <w:u w:val="none" w:color="auto"/>
          <w:lang w:val="en-US" w:eastAsia="zh-CN"/>
        </w:rPr>
        <w:t>20</w:t>
      </w:r>
      <w:r>
        <w:rPr>
          <w:rFonts w:hint="default" w:ascii="Times New Roman" w:hAnsi="Times New Roman" w:eastAsia="仿宋_GB2312" w:cs="Times New Roman"/>
          <w:b w:val="0"/>
          <w:bCs w:val="0"/>
          <w:snapToGrid/>
          <w:color w:val="auto"/>
          <w:kern w:val="2"/>
          <w:sz w:val="32"/>
          <w:szCs w:val="24"/>
          <w:highlight w:val="none"/>
          <w:u w:val="none" w:color="auto"/>
        </w:rPr>
        <w:t>万吨以上</w:t>
      </w:r>
      <w:r>
        <w:rPr>
          <w:rFonts w:hint="default" w:ascii="Times New Roman" w:hAnsi="Times New Roman" w:eastAsia="仿宋_GB2312" w:cs="Times New Roman"/>
          <w:kern w:val="2"/>
          <w:sz w:val="32"/>
          <w:szCs w:val="24"/>
        </w:rPr>
        <w:t>，成功创建国家可持续发展议程创新示范区、全国主要农作物生产全程机械化示范县、省高标准农田整县推进示范县。特色农业品牌培育成效突</w:t>
      </w:r>
      <w:r>
        <w:rPr>
          <w:rFonts w:hint="default" w:ascii="Times New Roman" w:hAnsi="Times New Roman" w:eastAsia="仿宋_GB2312" w:cs="Times New Roman"/>
          <w:kern w:val="21"/>
          <w:sz w:val="32"/>
          <w:szCs w:val="32"/>
        </w:rPr>
        <w:t>出，新增“三品一标”认证</w:t>
      </w:r>
      <w:r>
        <w:rPr>
          <w:rFonts w:hint="default" w:ascii="Times New Roman" w:hAnsi="Times New Roman" w:cs="Times New Roman"/>
          <w:kern w:val="21"/>
          <w:sz w:val="32"/>
          <w:szCs w:val="32"/>
          <w:lang w:val="en-US" w:eastAsia="zh-CN"/>
        </w:rPr>
        <w:t>12</w:t>
      </w:r>
      <w:r>
        <w:rPr>
          <w:rFonts w:hint="default" w:ascii="Times New Roman" w:hAnsi="Times New Roman" w:eastAsia="仿宋_GB2312" w:cs="Times New Roman"/>
          <w:kern w:val="21"/>
          <w:sz w:val="32"/>
          <w:szCs w:val="32"/>
        </w:rPr>
        <w:t>个，薛城薄皮辣椒、周营马铃薯获评“全国名特优新农产品”，沙河崖青萝卜入选“中国农耕农品记忆索引名录”</w:t>
      </w:r>
      <w:r>
        <w:rPr>
          <w:rFonts w:hint="default" w:ascii="Times New Roman" w:hAnsi="Times New Roman" w:cs="Times New Roman"/>
          <w:kern w:val="21"/>
          <w:sz w:val="32"/>
          <w:szCs w:val="32"/>
          <w:lang w:eastAsia="zh-CN"/>
        </w:rPr>
        <w:t>。</w:t>
      </w:r>
      <w:r>
        <w:rPr>
          <w:rFonts w:hint="default" w:ascii="Times New Roman" w:hAnsi="Times New Roman" w:eastAsia="仿宋_GB2312" w:cs="Times New Roman"/>
          <w:b/>
          <w:bCs/>
          <w:kern w:val="21"/>
          <w:sz w:val="32"/>
          <w:szCs w:val="32"/>
        </w:rPr>
        <w:t>农村人居环境持续改善。</w:t>
      </w:r>
      <w:r>
        <w:rPr>
          <w:rFonts w:hint="default" w:ascii="Times New Roman" w:hAnsi="Times New Roman" w:eastAsia="仿宋_GB2312" w:cs="Times New Roman"/>
          <w:b w:val="0"/>
          <w:color w:val="auto"/>
          <w:kern w:val="2"/>
          <w:sz w:val="32"/>
          <w:szCs w:val="32"/>
          <w:highlight w:val="none"/>
          <w:lang w:val="en-US" w:eastAsia="zh-CN" w:bidi="ar-SA"/>
        </w:rPr>
        <w:t>建成和美乡村示范村27个，打造乡村振兴示范片区8个，在全市率先实现涉农镇街全覆盖，三湾里、九龙泉、冠世园片区获评省级乡村振兴示范片区，高水平承办全省乡村振兴现场会。实现“四好农村路”</w:t>
      </w:r>
      <w:r>
        <w:rPr>
          <w:rFonts w:hint="default" w:ascii="Times New Roman" w:hAnsi="Times New Roman" w:cs="Times New Roman"/>
          <w:b w:val="0"/>
          <w:color w:val="auto"/>
          <w:kern w:val="2"/>
          <w:sz w:val="32"/>
          <w:szCs w:val="32"/>
          <w:highlight w:val="none"/>
          <w:lang w:val="en-US" w:eastAsia="zh-CN" w:bidi="ar-SA"/>
        </w:rPr>
        <w:t>建制村全覆盖、</w:t>
      </w:r>
      <w:r>
        <w:rPr>
          <w:rFonts w:hint="default" w:ascii="Times New Roman" w:hAnsi="Times New Roman" w:eastAsia="仿宋_GB2312" w:cs="Times New Roman"/>
          <w:b w:val="0"/>
          <w:color w:val="auto"/>
          <w:kern w:val="2"/>
          <w:sz w:val="32"/>
          <w:szCs w:val="32"/>
          <w:highlight w:val="none"/>
          <w:lang w:val="en-US" w:eastAsia="zh-CN" w:bidi="ar-SA"/>
        </w:rPr>
        <w:t>农村供水县域统管“户户通”</w:t>
      </w:r>
      <w:r>
        <w:rPr>
          <w:rFonts w:hint="default" w:ascii="Times New Roman" w:hAnsi="Times New Roman" w:cs="Times New Roman"/>
          <w:b w:val="0"/>
          <w:color w:val="auto"/>
          <w:kern w:val="2"/>
          <w:sz w:val="32"/>
          <w:szCs w:val="32"/>
          <w:highlight w:val="none"/>
          <w:lang w:val="en-US" w:eastAsia="zh-CN" w:bidi="ar-SA"/>
        </w:rPr>
        <w:t>。</w:t>
      </w:r>
      <w:r>
        <w:rPr>
          <w:rFonts w:hint="default" w:ascii="Times New Roman" w:hAnsi="Times New Roman" w:cs="Times New Roman"/>
          <w:b/>
          <w:bCs/>
          <w:color w:val="auto"/>
          <w:kern w:val="21"/>
          <w:sz w:val="32"/>
          <w:szCs w:val="32"/>
          <w:highlight w:val="none"/>
          <w:lang w:val="en-US" w:eastAsia="zh-CN" w:bidi="ar-SA"/>
        </w:rPr>
        <w:t>镇域经济实力增强。</w:t>
      </w:r>
      <w:r>
        <w:rPr>
          <w:rFonts w:hint="default" w:ascii="Times New Roman" w:hAnsi="Times New Roman" w:eastAsia="仿宋_GB2312" w:cs="Times New Roman"/>
          <w:kern w:val="21"/>
          <w:sz w:val="32"/>
          <w:szCs w:val="32"/>
        </w:rPr>
        <w:t>周营镇获评国家级农业产业强镇，沙沟镇</w:t>
      </w:r>
      <w:r>
        <w:rPr>
          <w:rFonts w:hint="default" w:ascii="Times New Roman" w:hAnsi="Times New Roman" w:cs="Times New Roman"/>
          <w:kern w:val="21"/>
          <w:sz w:val="32"/>
          <w:szCs w:val="32"/>
          <w:lang w:val="en-US" w:eastAsia="zh-CN"/>
        </w:rPr>
        <w:t>获评</w:t>
      </w:r>
      <w:r>
        <w:rPr>
          <w:rFonts w:hint="default" w:ascii="Times New Roman" w:hAnsi="Times New Roman" w:eastAsia="仿宋_GB2312" w:cs="Times New Roman"/>
          <w:kern w:val="21"/>
          <w:sz w:val="32"/>
          <w:szCs w:val="32"/>
        </w:rPr>
        <w:t>省级农业产业强镇</w:t>
      </w:r>
      <w:r>
        <w:rPr>
          <w:rFonts w:hint="default" w:ascii="Times New Roman" w:hAnsi="Times New Roman" w:cs="Times New Roman"/>
          <w:kern w:val="21"/>
          <w:sz w:val="32"/>
          <w:szCs w:val="32"/>
          <w:lang w:eastAsia="zh-CN"/>
        </w:rPr>
        <w:t>，</w:t>
      </w:r>
      <w:r>
        <w:rPr>
          <w:rFonts w:hint="default" w:ascii="Times New Roman" w:hAnsi="Times New Roman" w:cs="Times New Roman"/>
          <w:color w:val="000000"/>
          <w:kern w:val="0"/>
          <w:sz w:val="31"/>
          <w:szCs w:val="31"/>
          <w:lang w:val="en-US" w:eastAsia="zh-CN" w:bidi="ar"/>
        </w:rPr>
        <w:t>陶庄镇、</w:t>
      </w:r>
      <w:r>
        <w:rPr>
          <w:rFonts w:hint="default" w:ascii="Times New Roman" w:hAnsi="Times New Roman" w:eastAsia="仿宋_GB2312" w:cs="Times New Roman"/>
          <w:color w:val="000000"/>
          <w:kern w:val="0"/>
          <w:sz w:val="31"/>
          <w:szCs w:val="31"/>
          <w:lang w:val="en-US" w:eastAsia="zh-CN" w:bidi="ar"/>
        </w:rPr>
        <w:t>邹坞镇、临城街道</w:t>
      </w:r>
      <w:r>
        <w:rPr>
          <w:rFonts w:hint="default" w:ascii="Times New Roman" w:hAnsi="Times New Roman" w:cs="Times New Roman"/>
          <w:color w:val="000000"/>
          <w:kern w:val="0"/>
          <w:sz w:val="31"/>
          <w:szCs w:val="31"/>
          <w:lang w:val="en-US" w:eastAsia="zh-CN" w:bidi="ar"/>
        </w:rPr>
        <w:t>、</w:t>
      </w:r>
      <w:r>
        <w:rPr>
          <w:rFonts w:hint="default" w:ascii="Times New Roman" w:hAnsi="Times New Roman" w:eastAsia="仿宋_GB2312" w:cs="Times New Roman"/>
          <w:color w:val="000000"/>
          <w:kern w:val="0"/>
          <w:sz w:val="31"/>
          <w:szCs w:val="31"/>
          <w:lang w:val="en-US" w:eastAsia="zh-CN" w:bidi="ar"/>
        </w:rPr>
        <w:t>新城街道</w:t>
      </w:r>
      <w:r>
        <w:rPr>
          <w:rFonts w:hint="default" w:ascii="Times New Roman" w:hAnsi="Times New Roman" w:cs="Times New Roman"/>
          <w:color w:val="000000"/>
          <w:kern w:val="0"/>
          <w:sz w:val="31"/>
          <w:szCs w:val="31"/>
          <w:lang w:val="en-US" w:eastAsia="zh-CN" w:bidi="ar"/>
        </w:rPr>
        <w:t>4个镇街获评</w:t>
      </w:r>
      <w:r>
        <w:rPr>
          <w:rFonts w:hint="default" w:ascii="Times New Roman" w:hAnsi="Times New Roman" w:eastAsia="仿宋_GB2312" w:cs="Times New Roman"/>
          <w:color w:val="000000"/>
          <w:kern w:val="0"/>
          <w:sz w:val="31"/>
          <w:szCs w:val="31"/>
          <w:lang w:val="en-US" w:eastAsia="zh-CN" w:bidi="ar"/>
        </w:rPr>
        <w:t>全市高质量发展引领镇、进步镇</w:t>
      </w:r>
      <w:r>
        <w:rPr>
          <w:rFonts w:hint="default" w:ascii="Times New Roman" w:hAnsi="Times New Roman" w:cs="Times New Roman"/>
          <w:color w:val="000000"/>
          <w:kern w:val="0"/>
          <w:sz w:val="31"/>
          <w:szCs w:val="31"/>
          <w:lang w:val="en-US" w:eastAsia="zh-CN" w:bidi="ar"/>
        </w:rPr>
        <w:t>。</w:t>
      </w:r>
      <w:r>
        <w:rPr>
          <w:rFonts w:hint="default" w:ascii="Times New Roman" w:hAnsi="Times New Roman" w:eastAsia="仿宋_GB2312" w:cs="Times New Roman"/>
          <w:kern w:val="21"/>
          <w:sz w:val="32"/>
          <w:szCs w:val="32"/>
          <w:highlight w:val="none"/>
        </w:rPr>
        <w:t>全区集体经济收入过50万元村达</w:t>
      </w:r>
      <w:r>
        <w:rPr>
          <w:rFonts w:hint="default" w:ascii="Times New Roman" w:hAnsi="Times New Roman" w:cs="Times New Roman"/>
          <w:kern w:val="21"/>
          <w:sz w:val="32"/>
          <w:szCs w:val="32"/>
          <w:highlight w:val="none"/>
          <w:lang w:eastAsia="zh-CN"/>
        </w:rPr>
        <w:t>8</w:t>
      </w:r>
      <w:r>
        <w:rPr>
          <w:rFonts w:hint="default" w:ascii="Times New Roman" w:hAnsi="Times New Roman" w:cs="Times New Roman"/>
          <w:kern w:val="21"/>
          <w:sz w:val="32"/>
          <w:szCs w:val="32"/>
          <w:highlight w:val="none"/>
          <w:lang w:val="en-US" w:eastAsia="zh-CN"/>
        </w:rPr>
        <w:t>5</w:t>
      </w:r>
      <w:r>
        <w:rPr>
          <w:rFonts w:hint="default" w:ascii="Times New Roman" w:hAnsi="Times New Roman" w:eastAsia="仿宋_GB2312" w:cs="Times New Roman"/>
          <w:kern w:val="21"/>
          <w:sz w:val="32"/>
          <w:szCs w:val="32"/>
          <w:highlight w:val="none"/>
        </w:rPr>
        <w:t>个、过百万元村达</w:t>
      </w:r>
      <w:r>
        <w:rPr>
          <w:rFonts w:hint="default" w:ascii="Times New Roman" w:hAnsi="Times New Roman" w:cs="Times New Roman"/>
          <w:kern w:val="21"/>
          <w:sz w:val="32"/>
          <w:szCs w:val="32"/>
          <w:highlight w:val="none"/>
          <w:lang w:eastAsia="zh-CN"/>
        </w:rPr>
        <w:t>2</w:t>
      </w:r>
      <w:r>
        <w:rPr>
          <w:rFonts w:hint="default" w:ascii="Times New Roman" w:hAnsi="Times New Roman" w:cs="Times New Roman"/>
          <w:kern w:val="21"/>
          <w:sz w:val="32"/>
          <w:szCs w:val="32"/>
          <w:highlight w:val="none"/>
          <w:lang w:val="en-US" w:eastAsia="zh-CN"/>
        </w:rPr>
        <w:t>2</w:t>
      </w:r>
      <w:r>
        <w:rPr>
          <w:rFonts w:hint="default" w:ascii="Times New Roman" w:hAnsi="Times New Roman" w:eastAsia="仿宋_GB2312" w:cs="Times New Roman"/>
          <w:kern w:val="21"/>
          <w:sz w:val="32"/>
          <w:szCs w:val="32"/>
          <w:highlight w:val="none"/>
        </w:rPr>
        <w:t>个</w:t>
      </w:r>
      <w:r>
        <w:rPr>
          <w:rFonts w:hint="default" w:ascii="Times New Roman" w:hAnsi="Times New Roman" w:cs="Times New Roman"/>
          <w:kern w:val="21"/>
          <w:sz w:val="32"/>
          <w:szCs w:val="32"/>
          <w:highlight w:val="none"/>
          <w:lang w:eastAsia="zh-CN"/>
        </w:rPr>
        <w:t>。</w:t>
      </w:r>
      <w:r>
        <w:rPr>
          <w:rFonts w:hint="default" w:ascii="Times New Roman" w:hAnsi="Times New Roman" w:eastAsia="仿宋_GB2312" w:cs="Times New Roman"/>
          <w:b w:val="0"/>
          <w:color w:val="auto"/>
          <w:kern w:val="21"/>
          <w:sz w:val="32"/>
          <w:szCs w:val="32"/>
          <w:highlight w:val="none"/>
          <w:lang w:val="en-US" w:eastAsia="zh-CN" w:bidi="ar-SA"/>
        </w:rPr>
        <w:t>我区</w:t>
      </w:r>
      <w:r>
        <w:rPr>
          <w:rFonts w:hint="default" w:ascii="Times New Roman" w:hAnsi="Times New Roman" w:eastAsia="仿宋_GB2312" w:cs="Times New Roman"/>
          <w:kern w:val="21"/>
          <w:sz w:val="32"/>
          <w:szCs w:val="32"/>
          <w:highlight w:val="none"/>
        </w:rPr>
        <w:t>获评省“万企兴万村”行动典型县、省乡村振兴示范县、省农业绿色发展先行县</w:t>
      </w:r>
      <w:r>
        <w:rPr>
          <w:rFonts w:hint="default" w:ascii="Times New Roman" w:hAnsi="Times New Roman" w:eastAsia="仿宋_GB2312" w:cs="Times New Roman"/>
          <w:b w:val="0"/>
          <w:color w:val="auto"/>
          <w:kern w:val="21"/>
          <w:sz w:val="32"/>
          <w:szCs w:val="32"/>
          <w:highlight w:val="none"/>
          <w:lang w:val="en-US" w:eastAsia="zh-CN" w:bidi="ar-SA"/>
        </w:rPr>
        <w:t>。</w:t>
      </w:r>
    </w:p>
    <w:p w14:paraId="547669C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rPr>
      </w:pPr>
      <w:r>
        <w:rPr>
          <w:rFonts w:hint="default" w:ascii="楷体_GB2312" w:hAnsi="楷体_GB2312" w:eastAsia="楷体_GB2312" w:cs="楷体_GB2312"/>
          <w:kern w:val="21"/>
          <w:sz w:val="32"/>
          <w:szCs w:val="32"/>
          <w:highlight w:val="none"/>
        </w:rPr>
        <w:t>改革开放纵深</w:t>
      </w:r>
      <w:r>
        <w:rPr>
          <w:rFonts w:hint="default" w:ascii="楷体_GB2312" w:hAnsi="楷体_GB2312" w:eastAsia="楷体_GB2312" w:cs="楷体_GB2312"/>
          <w:kern w:val="21"/>
          <w:sz w:val="32"/>
          <w:szCs w:val="32"/>
          <w:highlight w:val="none"/>
          <w:lang w:val="en-US" w:eastAsia="zh-CN"/>
        </w:rPr>
        <w:t>推进</w:t>
      </w:r>
      <w:r>
        <w:rPr>
          <w:rFonts w:hint="default" w:ascii="楷体_GB2312" w:hAnsi="楷体_GB2312" w:eastAsia="楷体_GB2312" w:cs="楷体_GB2312"/>
          <w:kern w:val="21"/>
          <w:sz w:val="32"/>
          <w:szCs w:val="32"/>
          <w:highlight w:val="none"/>
          <w:lang w:eastAsia="zh-CN"/>
        </w:rPr>
        <w:t>。</w:t>
      </w:r>
      <w:r>
        <w:rPr>
          <w:rFonts w:hint="default" w:ascii="Times New Roman" w:hAnsi="Times New Roman" w:eastAsia="仿宋_GB2312" w:cs="Times New Roman"/>
          <w:b/>
          <w:bCs/>
          <w:kern w:val="21"/>
          <w:sz w:val="32"/>
          <w:szCs w:val="32"/>
        </w:rPr>
        <w:t>重点领域改革成效显著。</w:t>
      </w:r>
      <w:r>
        <w:rPr>
          <w:rFonts w:hint="default" w:ascii="Times New Roman" w:hAnsi="Times New Roman" w:eastAsia="仿宋_GB2312" w:cs="Times New Roman"/>
          <w:color w:val="auto"/>
          <w:sz w:val="32"/>
          <w:szCs w:val="32"/>
          <w:highlight w:val="none"/>
          <w:lang w:val="en-US" w:eastAsia="zh-CN"/>
        </w:rPr>
        <w:t>全面完成政府机构改革，职责体系与运行机制更加协同高效。</w:t>
      </w:r>
      <w:r>
        <w:rPr>
          <w:rFonts w:hint="default" w:ascii="Times New Roman" w:hAnsi="Times New Roman" w:cs="Times New Roman"/>
          <w:kern w:val="21"/>
          <w:sz w:val="32"/>
          <w:szCs w:val="32"/>
          <w:lang w:val="en-US" w:eastAsia="zh-CN"/>
        </w:rPr>
        <w:t>持续深化行</w:t>
      </w:r>
      <w:r>
        <w:rPr>
          <w:rFonts w:hint="default" w:ascii="Times New Roman" w:hAnsi="Times New Roman" w:eastAsia="仿宋_GB2312" w:cs="Times New Roman"/>
          <w:kern w:val="21"/>
          <w:sz w:val="32"/>
          <w:szCs w:val="32"/>
        </w:rPr>
        <w:t>政审批改革，</w:t>
      </w:r>
      <w:r>
        <w:rPr>
          <w:rFonts w:hint="default" w:ascii="Times New Roman" w:hAnsi="Times New Roman" w:eastAsia="仿宋_GB2312" w:cs="Times New Roman"/>
          <w:b w:val="0"/>
          <w:color w:val="auto"/>
          <w:kern w:val="2"/>
          <w:sz w:val="32"/>
          <w:szCs w:val="32"/>
          <w:highlight w:val="none"/>
          <w:lang w:val="en-US" w:eastAsia="zh-CN" w:bidi="ar-SA"/>
        </w:rPr>
        <w:t>在全省率先推行“函证并行”审批制度改革，项目开工审批时限从6个月压缩至1个月</w:t>
      </w:r>
      <w:r>
        <w:rPr>
          <w:rFonts w:hint="default" w:ascii="Times New Roman" w:hAnsi="Times New Roman" w:cs="Times New Roman"/>
          <w:b w:val="0"/>
          <w:color w:val="auto"/>
          <w:kern w:val="2"/>
          <w:sz w:val="32"/>
          <w:szCs w:val="32"/>
          <w:highlight w:val="none"/>
          <w:lang w:val="en-US" w:eastAsia="zh-CN" w:bidi="ar-SA"/>
        </w:rPr>
        <w:t>。</w:t>
      </w:r>
      <w:r>
        <w:rPr>
          <w:rFonts w:hint="default" w:ascii="Times New Roman" w:hAnsi="Times New Roman" w:eastAsia="仿宋_GB2312" w:cs="Times New Roman"/>
          <w:b w:val="0"/>
          <w:bCs/>
          <w:color w:val="000000"/>
          <w:sz w:val="32"/>
          <w:szCs w:val="32"/>
        </w:rPr>
        <w:t>大力推进</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rPr>
        <w:t>诚信薛城</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rPr>
        <w:t>建设</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color w:val="auto"/>
          <w:kern w:val="2"/>
          <w:sz w:val="32"/>
          <w:szCs w:val="32"/>
          <w:highlight w:val="none"/>
          <w:lang w:val="en-US" w:eastAsia="zh-CN" w:bidi="ar-SA"/>
        </w:rPr>
        <w:t>“信用薛城”平台全面运行，</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rPr>
        <w:t>信易医</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rPr>
        <w:t>获评全国优秀信用案例</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cs="Times New Roman"/>
          <w:b w:val="0"/>
          <w:bCs/>
          <w:color w:val="000000"/>
          <w:sz w:val="32"/>
          <w:szCs w:val="32"/>
          <w:lang w:val="en-US" w:eastAsia="zh-CN"/>
        </w:rPr>
        <w:t>承办</w:t>
      </w:r>
      <w:r>
        <w:rPr>
          <w:rFonts w:hint="default" w:ascii="Times New Roman" w:hAnsi="Times New Roman" w:eastAsia="仿宋_GB2312" w:cs="Times New Roman"/>
          <w:b w:val="0"/>
          <w:bCs/>
          <w:color w:val="000000"/>
          <w:sz w:val="32"/>
          <w:szCs w:val="32"/>
        </w:rPr>
        <w:t>全省信用建设观摩交流会</w:t>
      </w:r>
      <w:r>
        <w:rPr>
          <w:rFonts w:hint="default" w:ascii="Times New Roman" w:hAnsi="Times New Roman"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rPr>
        <w:t>我区入选美德山东和信用山东建设试点县。</w:t>
      </w:r>
      <w:r>
        <w:rPr>
          <w:rFonts w:hint="default" w:ascii="Times New Roman" w:hAnsi="Times New Roman" w:eastAsia="仿宋_GB2312" w:cs="Times New Roman"/>
          <w:kern w:val="21"/>
          <w:sz w:val="32"/>
          <w:szCs w:val="32"/>
        </w:rPr>
        <w:t>深化国有企业改革，</w:t>
      </w:r>
      <w:r>
        <w:rPr>
          <w:rFonts w:hint="default" w:ascii="Times New Roman" w:hAnsi="Times New Roman" w:eastAsia="仿宋_GB2312" w:cs="Times New Roman"/>
          <w:b w:val="0"/>
          <w:color w:val="auto"/>
          <w:kern w:val="2"/>
          <w:sz w:val="32"/>
          <w:szCs w:val="32"/>
          <w:highlight w:val="none"/>
          <w:lang w:val="en-US" w:eastAsia="zh-CN" w:bidi="ar-SA"/>
        </w:rPr>
        <w:t>整合组建锦辰产投、晟汇建设、民生产发</w:t>
      </w:r>
      <w:r>
        <w:rPr>
          <w:rFonts w:hint="default" w:ascii="Times New Roman" w:hAnsi="Times New Roman" w:cs="Times New Roman"/>
          <w:b w:val="0"/>
          <w:color w:val="auto"/>
          <w:kern w:val="2"/>
          <w:sz w:val="32"/>
          <w:szCs w:val="32"/>
          <w:highlight w:val="none"/>
          <w:lang w:val="en-US" w:eastAsia="zh-CN" w:bidi="ar-SA"/>
        </w:rPr>
        <w:t>3</w:t>
      </w:r>
      <w:r>
        <w:rPr>
          <w:rFonts w:hint="default" w:ascii="Times New Roman" w:hAnsi="Times New Roman" w:eastAsia="仿宋_GB2312" w:cs="Times New Roman"/>
          <w:b w:val="0"/>
          <w:color w:val="auto"/>
          <w:kern w:val="2"/>
          <w:sz w:val="32"/>
          <w:szCs w:val="32"/>
          <w:highlight w:val="none"/>
          <w:lang w:val="en-US" w:eastAsia="zh-CN" w:bidi="ar-SA"/>
        </w:rPr>
        <w:t>家国企</w:t>
      </w:r>
      <w:r>
        <w:rPr>
          <w:rFonts w:hint="default" w:ascii="Times New Roman" w:hAnsi="Times New Roman" w:eastAsia="仿宋_GB2312" w:cs="Times New Roman"/>
          <w:kern w:val="21"/>
          <w:sz w:val="32"/>
          <w:szCs w:val="32"/>
        </w:rPr>
        <w:t>。</w:t>
      </w:r>
      <w:r>
        <w:rPr>
          <w:rFonts w:hint="default" w:ascii="Times New Roman" w:hAnsi="Times New Roman" w:eastAsia="仿宋_GB2312" w:cs="Times New Roman"/>
          <w:b/>
          <w:bCs/>
          <w:kern w:val="21"/>
          <w:sz w:val="32"/>
          <w:szCs w:val="32"/>
        </w:rPr>
        <w:t>对外开放能级持续提升。</w:t>
      </w:r>
      <w:r>
        <w:rPr>
          <w:rFonts w:hint="default" w:ascii="Times New Roman" w:hAnsi="Times New Roman" w:eastAsia="仿宋_GB2312" w:cs="Times New Roman"/>
          <w:kern w:val="21"/>
          <w:sz w:val="32"/>
          <w:szCs w:val="32"/>
        </w:rPr>
        <w:t>外向型经济稳步发展，</w:t>
      </w:r>
      <w:r>
        <w:rPr>
          <w:rFonts w:hint="default" w:ascii="Times New Roman" w:hAnsi="Times New Roman" w:eastAsia="仿宋_GB2312" w:cs="Times New Roman"/>
          <w:b w:val="0"/>
          <w:color w:val="auto"/>
          <w:kern w:val="2"/>
          <w:sz w:val="32"/>
          <w:szCs w:val="32"/>
          <w:highlight w:val="none"/>
          <w:lang w:val="en-US" w:eastAsia="zh-CN" w:bidi="ar-SA"/>
        </w:rPr>
        <w:t>龙工场跨境电商产业园建成运营，</w:t>
      </w:r>
      <w:r>
        <w:rPr>
          <w:rFonts w:hint="default" w:ascii="Times New Roman" w:hAnsi="Times New Roman" w:eastAsia="仿宋_GB2312" w:cs="Times New Roman"/>
          <w:kern w:val="21"/>
          <w:sz w:val="32"/>
          <w:szCs w:val="32"/>
        </w:rPr>
        <w:t>累计新增外贸实绩企业</w:t>
      </w:r>
      <w:r>
        <w:rPr>
          <w:rFonts w:hint="default" w:ascii="Times New Roman" w:hAnsi="Times New Roman" w:cs="Times New Roman"/>
          <w:kern w:val="21"/>
          <w:sz w:val="32"/>
          <w:szCs w:val="32"/>
          <w:lang w:val="en-US" w:eastAsia="zh-CN"/>
        </w:rPr>
        <w:t>60</w:t>
      </w:r>
      <w:r>
        <w:rPr>
          <w:rFonts w:hint="default" w:ascii="Times New Roman" w:hAnsi="Times New Roman" w:eastAsia="仿宋_GB2312" w:cs="Times New Roman"/>
          <w:kern w:val="21"/>
          <w:sz w:val="32"/>
          <w:szCs w:val="32"/>
        </w:rPr>
        <w:t>家</w:t>
      </w:r>
      <w:r>
        <w:rPr>
          <w:rFonts w:hint="default" w:ascii="Times New Roman" w:hAnsi="Times New Roman" w:cs="Times New Roman"/>
          <w:kern w:val="21"/>
          <w:sz w:val="32"/>
          <w:szCs w:val="32"/>
          <w:lang w:eastAsia="zh-CN"/>
        </w:rPr>
        <w:t>，</w:t>
      </w:r>
      <w:r>
        <w:rPr>
          <w:rFonts w:hint="default" w:ascii="Times New Roman" w:hAnsi="Times New Roman" w:eastAsia="仿宋_GB2312" w:cs="Times New Roman"/>
          <w:b w:val="0"/>
          <w:color w:val="auto"/>
          <w:kern w:val="2"/>
          <w:sz w:val="32"/>
          <w:szCs w:val="32"/>
          <w:highlight w:val="none"/>
          <w:lang w:val="en-US" w:eastAsia="zh-CN" w:bidi="ar-SA"/>
        </w:rPr>
        <w:t>完成进出口217.64亿元，</w:t>
      </w:r>
      <w:r>
        <w:rPr>
          <w:rFonts w:hint="default" w:ascii="Times New Roman" w:hAnsi="Times New Roman" w:eastAsia="仿宋_GB2312" w:cs="Times New Roman"/>
          <w:kern w:val="21"/>
          <w:sz w:val="32"/>
          <w:szCs w:val="32"/>
        </w:rPr>
        <w:t>实际使用外资累计</w:t>
      </w:r>
      <w:r>
        <w:rPr>
          <w:rFonts w:hint="default" w:ascii="Times New Roman" w:hAnsi="Times New Roman" w:cs="Times New Roman"/>
          <w:kern w:val="21"/>
          <w:sz w:val="32"/>
          <w:szCs w:val="32"/>
          <w:lang w:val="en-US" w:eastAsia="zh-CN"/>
        </w:rPr>
        <w:t>2.5</w:t>
      </w:r>
      <w:r>
        <w:rPr>
          <w:rFonts w:hint="default" w:ascii="Times New Roman" w:hAnsi="Times New Roman" w:eastAsia="仿宋_GB2312" w:cs="Times New Roman"/>
          <w:kern w:val="21"/>
          <w:sz w:val="32"/>
          <w:szCs w:val="32"/>
        </w:rPr>
        <w:t>亿美元，对外开放的广度和深度不断拓展。</w:t>
      </w:r>
      <w:r>
        <w:rPr>
          <w:rFonts w:hint="default" w:ascii="Times New Roman" w:hAnsi="Times New Roman" w:eastAsia="仿宋_GB2312" w:cs="Times New Roman"/>
          <w:b/>
          <w:bCs/>
          <w:kern w:val="21"/>
          <w:sz w:val="32"/>
          <w:szCs w:val="32"/>
        </w:rPr>
        <w:t>创新能力显著增强。</w:t>
      </w:r>
      <w:r>
        <w:rPr>
          <w:rFonts w:hint="default" w:ascii="Times New Roman" w:hAnsi="Times New Roman" w:eastAsia="仿宋_GB2312" w:cs="Times New Roman"/>
          <w:kern w:val="21"/>
          <w:sz w:val="32"/>
          <w:szCs w:val="32"/>
        </w:rPr>
        <w:t>“十四五”时期，新增高新技术企业</w:t>
      </w:r>
      <w:r>
        <w:rPr>
          <w:rFonts w:hint="default" w:ascii="Times New Roman" w:hAnsi="Times New Roman" w:cs="Times New Roman"/>
          <w:kern w:val="21"/>
          <w:sz w:val="32"/>
          <w:szCs w:val="32"/>
          <w:lang w:val="en-US" w:eastAsia="zh-CN"/>
        </w:rPr>
        <w:t>35</w:t>
      </w:r>
      <w:r>
        <w:rPr>
          <w:rFonts w:hint="default" w:ascii="Times New Roman" w:hAnsi="Times New Roman" w:eastAsia="仿宋_GB2312" w:cs="Times New Roman"/>
          <w:kern w:val="21"/>
          <w:sz w:val="32"/>
          <w:szCs w:val="32"/>
        </w:rPr>
        <w:t>家、省级研发平台</w:t>
      </w:r>
      <w:r>
        <w:rPr>
          <w:rFonts w:hint="default" w:ascii="Times New Roman" w:hAnsi="Times New Roman" w:cs="Times New Roman"/>
          <w:kern w:val="21"/>
          <w:sz w:val="32"/>
          <w:szCs w:val="32"/>
          <w:lang w:val="en-US" w:eastAsia="zh-CN"/>
        </w:rPr>
        <w:t>15</w:t>
      </w:r>
      <w:r>
        <w:rPr>
          <w:rFonts w:hint="default" w:ascii="Times New Roman" w:hAnsi="Times New Roman" w:eastAsia="仿宋_GB2312" w:cs="Times New Roman"/>
          <w:kern w:val="21"/>
          <w:sz w:val="32"/>
          <w:szCs w:val="32"/>
        </w:rPr>
        <w:t>家，中科应用技术研究院枣庄分院等创新平台落地运营。人才引育留用机制不断完善，实施“榴枣归乡”工程，建成高标准人才公寓</w:t>
      </w:r>
      <w:r>
        <w:rPr>
          <w:rFonts w:hint="default" w:ascii="Times New Roman" w:hAnsi="Times New Roman" w:cs="Times New Roman"/>
          <w:kern w:val="21"/>
          <w:sz w:val="32"/>
          <w:szCs w:val="32"/>
          <w:lang w:val="en-US" w:eastAsia="zh-CN"/>
        </w:rPr>
        <w:t>520</w:t>
      </w:r>
      <w:r>
        <w:rPr>
          <w:rFonts w:hint="default" w:ascii="Times New Roman" w:hAnsi="Times New Roman" w:eastAsia="仿宋_GB2312" w:cs="Times New Roman"/>
          <w:kern w:val="21"/>
          <w:sz w:val="32"/>
          <w:szCs w:val="32"/>
        </w:rPr>
        <w:t>套，柔性引进各类高层次人才</w:t>
      </w:r>
      <w:r>
        <w:rPr>
          <w:rFonts w:hint="default" w:ascii="Times New Roman" w:hAnsi="Times New Roman" w:cs="Times New Roman"/>
          <w:kern w:val="21"/>
          <w:sz w:val="32"/>
          <w:szCs w:val="32"/>
          <w:lang w:val="en-US" w:eastAsia="zh-CN"/>
        </w:rPr>
        <w:t>58</w:t>
      </w:r>
      <w:r>
        <w:rPr>
          <w:rFonts w:hint="default" w:ascii="Times New Roman" w:hAnsi="Times New Roman" w:eastAsia="仿宋_GB2312" w:cs="Times New Roman"/>
          <w:kern w:val="21"/>
          <w:sz w:val="32"/>
          <w:szCs w:val="32"/>
        </w:rPr>
        <w:t>人，其中入选国家级人才工程</w:t>
      </w:r>
      <w:r>
        <w:rPr>
          <w:rFonts w:hint="default" w:ascii="Times New Roman" w:hAnsi="Times New Roman" w:cs="Times New Roman"/>
          <w:kern w:val="21"/>
          <w:sz w:val="32"/>
          <w:szCs w:val="32"/>
          <w:lang w:val="en-US" w:eastAsia="zh-CN"/>
        </w:rPr>
        <w:t>1</w:t>
      </w:r>
      <w:r>
        <w:rPr>
          <w:rFonts w:hint="default" w:ascii="Times New Roman" w:hAnsi="Times New Roman" w:eastAsia="仿宋_GB2312" w:cs="Times New Roman"/>
          <w:kern w:val="21"/>
          <w:sz w:val="32"/>
          <w:szCs w:val="32"/>
        </w:rPr>
        <w:t>人、省级人才工程</w:t>
      </w:r>
      <w:r>
        <w:rPr>
          <w:rFonts w:hint="default" w:ascii="Times New Roman" w:hAnsi="Times New Roman" w:cs="Times New Roman"/>
          <w:kern w:val="21"/>
          <w:sz w:val="32"/>
          <w:szCs w:val="32"/>
          <w:lang w:val="en-US" w:eastAsia="zh-CN"/>
        </w:rPr>
        <w:t>34</w:t>
      </w:r>
      <w:r>
        <w:rPr>
          <w:rFonts w:hint="default" w:ascii="Times New Roman" w:hAnsi="Times New Roman" w:eastAsia="仿宋_GB2312" w:cs="Times New Roman"/>
          <w:kern w:val="21"/>
          <w:sz w:val="32"/>
          <w:szCs w:val="32"/>
        </w:rPr>
        <w:t>人，</w:t>
      </w:r>
      <w:r>
        <w:rPr>
          <w:rFonts w:hint="default" w:ascii="Times New Roman" w:hAnsi="Times New Roman" w:cs="Times New Roman"/>
          <w:kern w:val="21"/>
          <w:sz w:val="32"/>
          <w:szCs w:val="32"/>
          <w:lang w:val="en-US" w:eastAsia="zh-CN"/>
        </w:rPr>
        <w:t>为高质量发展提供</w:t>
      </w:r>
      <w:r>
        <w:rPr>
          <w:rFonts w:hint="default" w:ascii="Times New Roman" w:hAnsi="Times New Roman" w:eastAsia="仿宋_GB2312" w:cs="Times New Roman"/>
          <w:kern w:val="21"/>
          <w:sz w:val="32"/>
          <w:szCs w:val="32"/>
        </w:rPr>
        <w:t>人才</w:t>
      </w:r>
      <w:r>
        <w:rPr>
          <w:rFonts w:hint="default" w:ascii="Times New Roman" w:hAnsi="Times New Roman" w:cs="Times New Roman"/>
          <w:kern w:val="21"/>
          <w:sz w:val="32"/>
          <w:szCs w:val="32"/>
          <w:lang w:val="en-US" w:eastAsia="zh-CN"/>
        </w:rPr>
        <w:t>支撑</w:t>
      </w:r>
      <w:r>
        <w:rPr>
          <w:rFonts w:hint="default" w:ascii="Times New Roman" w:hAnsi="Times New Roman" w:eastAsia="仿宋_GB2312" w:cs="Times New Roman"/>
          <w:kern w:val="21"/>
          <w:sz w:val="32"/>
          <w:szCs w:val="32"/>
        </w:rPr>
        <w:t>。</w:t>
      </w:r>
    </w:p>
    <w:p w14:paraId="270D51F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rPr>
      </w:pPr>
      <w:r>
        <w:rPr>
          <w:rFonts w:hint="default" w:ascii="楷体_GB2312" w:hAnsi="楷体_GB2312" w:eastAsia="楷体_GB2312" w:cs="楷体_GB2312"/>
          <w:kern w:val="21"/>
          <w:sz w:val="32"/>
          <w:szCs w:val="32"/>
          <w:highlight w:val="none"/>
        </w:rPr>
        <w:t>民生福祉</w:t>
      </w:r>
      <w:r>
        <w:rPr>
          <w:rFonts w:hint="default" w:ascii="楷体_GB2312" w:hAnsi="楷体_GB2312" w:eastAsia="楷体_GB2312" w:cs="楷体_GB2312"/>
          <w:kern w:val="21"/>
          <w:sz w:val="32"/>
          <w:szCs w:val="32"/>
          <w:highlight w:val="none"/>
          <w:lang w:val="en-US" w:eastAsia="zh-CN"/>
        </w:rPr>
        <w:t>持续增进</w:t>
      </w:r>
      <w:r>
        <w:rPr>
          <w:rFonts w:hint="default" w:ascii="楷体_GB2312" w:hAnsi="楷体_GB2312" w:eastAsia="楷体_GB2312" w:cs="楷体_GB2312"/>
          <w:kern w:val="21"/>
          <w:sz w:val="32"/>
          <w:szCs w:val="32"/>
          <w:highlight w:val="none"/>
          <w:lang w:eastAsia="zh-CN"/>
        </w:rPr>
        <w:t>。</w:t>
      </w:r>
      <w:r>
        <w:rPr>
          <w:rFonts w:hint="default" w:ascii="Times New Roman" w:hAnsi="Times New Roman" w:eastAsia="仿宋_GB2312" w:cs="Times New Roman"/>
          <w:b w:val="0"/>
          <w:color w:val="auto"/>
          <w:kern w:val="2"/>
          <w:sz w:val="32"/>
          <w:szCs w:val="32"/>
          <w:highlight w:val="none"/>
          <w:lang w:val="en-US" w:eastAsia="zh-CN" w:bidi="ar-SA"/>
        </w:rPr>
        <w:t>累计完成民生支出</w:t>
      </w:r>
      <w:r>
        <w:rPr>
          <w:rFonts w:hint="default" w:ascii="Times New Roman" w:hAnsi="Times New Roman" w:cs="Times New Roman"/>
          <w:b w:val="0"/>
          <w:color w:val="auto"/>
          <w:kern w:val="2"/>
          <w:sz w:val="32"/>
          <w:szCs w:val="32"/>
          <w:highlight w:val="none"/>
          <w:lang w:val="en-US" w:eastAsia="zh-CN" w:bidi="ar-SA"/>
        </w:rPr>
        <w:t>139.24</w:t>
      </w:r>
      <w:r>
        <w:rPr>
          <w:rFonts w:hint="default" w:ascii="Times New Roman" w:hAnsi="Times New Roman" w:eastAsia="仿宋_GB2312" w:cs="Times New Roman"/>
          <w:b w:val="0"/>
          <w:color w:val="auto"/>
          <w:kern w:val="2"/>
          <w:sz w:val="32"/>
          <w:szCs w:val="32"/>
          <w:highlight w:val="none"/>
          <w:lang w:val="en-US" w:eastAsia="zh-CN" w:bidi="ar-SA"/>
        </w:rPr>
        <w:t>亿元，是“十三五”时期的</w:t>
      </w:r>
      <w:r>
        <w:rPr>
          <w:rFonts w:hint="default" w:ascii="Times New Roman" w:hAnsi="Times New Roman" w:cs="Times New Roman"/>
          <w:b w:val="0"/>
          <w:color w:val="auto"/>
          <w:kern w:val="2"/>
          <w:sz w:val="32"/>
          <w:szCs w:val="32"/>
          <w:highlight w:val="none"/>
          <w:lang w:val="en-US" w:eastAsia="zh-CN" w:bidi="ar-SA"/>
        </w:rPr>
        <w:t>1.43</w:t>
      </w:r>
      <w:r>
        <w:rPr>
          <w:rFonts w:hint="default" w:ascii="Times New Roman" w:hAnsi="Times New Roman" w:eastAsia="仿宋_GB2312" w:cs="Times New Roman"/>
          <w:b w:val="0"/>
          <w:color w:val="auto"/>
          <w:kern w:val="2"/>
          <w:sz w:val="32"/>
          <w:szCs w:val="32"/>
          <w:highlight w:val="none"/>
          <w:lang w:val="en-US" w:eastAsia="zh-CN" w:bidi="ar-SA"/>
        </w:rPr>
        <w:t>倍。</w:t>
      </w:r>
      <w:r>
        <w:rPr>
          <w:rFonts w:hint="default" w:ascii="Times New Roman" w:hAnsi="Times New Roman" w:eastAsia="仿宋_GB2312" w:cs="Times New Roman"/>
          <w:b/>
          <w:bCs/>
          <w:kern w:val="21"/>
          <w:sz w:val="32"/>
          <w:szCs w:val="32"/>
        </w:rPr>
        <w:t>社会保障提标扩面。</w:t>
      </w:r>
      <w:r>
        <w:rPr>
          <w:rFonts w:hint="default" w:ascii="Times New Roman" w:hAnsi="Times New Roman" w:eastAsia="仿宋_GB2312" w:cs="Times New Roman"/>
          <w:kern w:val="21"/>
          <w:sz w:val="32"/>
          <w:szCs w:val="32"/>
        </w:rPr>
        <w:t>坚持就业优先，“十四五”时期累计新增城镇就业</w:t>
      </w:r>
      <w:r>
        <w:rPr>
          <w:rFonts w:hint="default" w:ascii="Times New Roman" w:hAnsi="Times New Roman" w:cs="Times New Roman"/>
          <w:kern w:val="21"/>
          <w:sz w:val="32"/>
          <w:szCs w:val="32"/>
          <w:lang w:val="en-US" w:eastAsia="zh-CN"/>
        </w:rPr>
        <w:t>3.01</w:t>
      </w:r>
      <w:r>
        <w:rPr>
          <w:rFonts w:hint="default" w:ascii="Times New Roman" w:hAnsi="Times New Roman" w:eastAsia="仿宋_GB2312" w:cs="Times New Roman"/>
          <w:kern w:val="21"/>
          <w:sz w:val="32"/>
          <w:szCs w:val="32"/>
        </w:rPr>
        <w:t>万人，开发城乡公益性岗位</w:t>
      </w:r>
      <w:r>
        <w:rPr>
          <w:rFonts w:hint="default" w:ascii="Times New Roman" w:hAnsi="Times New Roman" w:cs="Times New Roman"/>
          <w:kern w:val="21"/>
          <w:sz w:val="32"/>
          <w:szCs w:val="32"/>
          <w:lang w:val="en-US" w:eastAsia="zh-CN"/>
        </w:rPr>
        <w:t>5124</w:t>
      </w:r>
      <w:r>
        <w:rPr>
          <w:rFonts w:hint="default" w:ascii="Times New Roman" w:hAnsi="Times New Roman" w:eastAsia="仿宋_GB2312" w:cs="Times New Roman"/>
          <w:kern w:val="21"/>
          <w:sz w:val="32"/>
          <w:szCs w:val="32"/>
        </w:rPr>
        <w:t>个，发放创业担保贷款</w:t>
      </w:r>
      <w:r>
        <w:rPr>
          <w:rFonts w:hint="default" w:ascii="Times New Roman" w:hAnsi="Times New Roman" w:cs="Times New Roman"/>
          <w:kern w:val="21"/>
          <w:sz w:val="32"/>
          <w:szCs w:val="32"/>
          <w:lang w:val="en-US" w:eastAsia="zh-CN"/>
        </w:rPr>
        <w:t>2.35</w:t>
      </w:r>
      <w:r>
        <w:rPr>
          <w:rFonts w:hint="default" w:ascii="Times New Roman" w:hAnsi="Times New Roman" w:eastAsia="仿宋_GB2312" w:cs="Times New Roman"/>
          <w:kern w:val="21"/>
          <w:sz w:val="32"/>
          <w:szCs w:val="32"/>
        </w:rPr>
        <w:t>亿元，重点群体就业得到有效保障</w:t>
      </w:r>
      <w:r>
        <w:rPr>
          <w:rFonts w:hint="default" w:ascii="Times New Roman" w:hAnsi="Times New Roman" w:cs="Times New Roman"/>
          <w:kern w:val="21"/>
          <w:sz w:val="32"/>
          <w:szCs w:val="32"/>
          <w:lang w:eastAsia="zh-CN"/>
        </w:rPr>
        <w:t>，</w:t>
      </w:r>
      <w:r>
        <w:rPr>
          <w:rFonts w:hint="default" w:ascii="Times New Roman" w:hAnsi="Times New Roman" w:eastAsia="仿宋_GB2312" w:cs="Times New Roman"/>
          <w:color w:val="auto"/>
          <w:sz w:val="32"/>
          <w:szCs w:val="32"/>
          <w:highlight w:val="none"/>
          <w:u w:val="none" w:color="auto"/>
        </w:rPr>
        <w:t>城镇、农村居民人均可支配收入分别达到4.4万元、2.4万元，</w:t>
      </w:r>
      <w:r>
        <w:rPr>
          <w:rFonts w:hint="default" w:ascii="Times New Roman" w:hAnsi="Times New Roman" w:cs="Times New Roman"/>
          <w:kern w:val="21"/>
          <w:sz w:val="32"/>
          <w:szCs w:val="32"/>
          <w:highlight w:val="none"/>
          <w:lang w:val="en-US" w:eastAsia="zh-CN"/>
        </w:rPr>
        <w:t>“十四五”时期</w:t>
      </w:r>
      <w:r>
        <w:rPr>
          <w:rFonts w:hint="default" w:ascii="Times New Roman" w:hAnsi="Times New Roman" w:eastAsia="仿宋_GB2312" w:cs="Times New Roman"/>
          <w:color w:val="auto"/>
          <w:sz w:val="32"/>
          <w:szCs w:val="32"/>
          <w:highlight w:val="none"/>
          <w:u w:val="none" w:color="auto"/>
        </w:rPr>
        <w:t>年均</w:t>
      </w:r>
      <w:r>
        <w:rPr>
          <w:rFonts w:hint="default" w:ascii="Times New Roman" w:hAnsi="Times New Roman" w:eastAsia="仿宋_GB2312" w:cs="Times New Roman"/>
          <w:color w:val="auto"/>
          <w:sz w:val="32"/>
          <w:szCs w:val="32"/>
          <w:highlight w:val="none"/>
          <w:u w:val="none" w:color="auto"/>
          <w:lang w:eastAsia="zh-CN"/>
        </w:rPr>
        <w:t>分别</w:t>
      </w:r>
      <w:r>
        <w:rPr>
          <w:rFonts w:hint="default" w:ascii="Times New Roman" w:hAnsi="Times New Roman" w:eastAsia="仿宋_GB2312" w:cs="Times New Roman"/>
          <w:color w:val="auto"/>
          <w:sz w:val="32"/>
          <w:szCs w:val="32"/>
          <w:highlight w:val="none"/>
          <w:u w:val="none" w:color="auto"/>
        </w:rPr>
        <w:t>增长5.95%、7.38%</w:t>
      </w:r>
      <w:r>
        <w:rPr>
          <w:rFonts w:hint="default" w:ascii="Times New Roman" w:hAnsi="Times New Roman" w:cs="Times New Roman"/>
          <w:kern w:val="21"/>
          <w:sz w:val="32"/>
          <w:szCs w:val="32"/>
          <w:lang w:eastAsia="zh-CN"/>
        </w:rPr>
        <w:t>。</w:t>
      </w:r>
      <w:r>
        <w:rPr>
          <w:rFonts w:hint="default" w:ascii="Times New Roman" w:hAnsi="Times New Roman" w:eastAsia="仿宋_GB2312" w:cs="Times New Roman"/>
          <w:kern w:val="21"/>
          <w:sz w:val="32"/>
          <w:szCs w:val="32"/>
        </w:rPr>
        <w:t>长期护理保险“揭榜挂帅”项目通过省级验收，“薛惠爱”获评省优秀社会救助品牌。</w:t>
      </w:r>
      <w:r>
        <w:rPr>
          <w:rFonts w:hint="default" w:ascii="Times New Roman" w:hAnsi="Times New Roman" w:eastAsia="仿宋_GB2312" w:cs="Times New Roman"/>
          <w:b/>
          <w:bCs/>
          <w:kern w:val="21"/>
          <w:sz w:val="32"/>
          <w:szCs w:val="32"/>
        </w:rPr>
        <w:t>公共服务优质均衡。</w:t>
      </w:r>
      <w:r>
        <w:rPr>
          <w:rFonts w:hint="default" w:ascii="Times New Roman" w:hAnsi="Times New Roman" w:eastAsia="仿宋_GB2312" w:cs="Times New Roman"/>
          <w:kern w:val="21"/>
          <w:sz w:val="32"/>
          <w:szCs w:val="32"/>
        </w:rPr>
        <w:t>教育事业优质均衡发展，新建、改扩建学校</w:t>
      </w:r>
      <w:r>
        <w:rPr>
          <w:rFonts w:hint="default" w:ascii="Times New Roman" w:hAnsi="Times New Roman" w:cs="Times New Roman"/>
          <w:kern w:val="21"/>
          <w:sz w:val="32"/>
          <w:szCs w:val="32"/>
          <w:lang w:val="en-US" w:eastAsia="zh-CN"/>
        </w:rPr>
        <w:t>27</w:t>
      </w:r>
      <w:r>
        <w:rPr>
          <w:rFonts w:hint="default" w:ascii="Times New Roman" w:hAnsi="Times New Roman" w:eastAsia="仿宋_GB2312" w:cs="Times New Roman"/>
          <w:kern w:val="21"/>
          <w:sz w:val="32"/>
          <w:szCs w:val="32"/>
        </w:rPr>
        <w:t>所，新增学位、园位</w:t>
      </w:r>
      <w:r>
        <w:rPr>
          <w:rFonts w:hint="default" w:ascii="Times New Roman" w:hAnsi="Times New Roman" w:cs="Times New Roman"/>
          <w:kern w:val="21"/>
          <w:sz w:val="32"/>
          <w:szCs w:val="32"/>
          <w:lang w:val="en-US" w:eastAsia="zh-CN"/>
        </w:rPr>
        <w:t>1.346</w:t>
      </w:r>
      <w:r>
        <w:rPr>
          <w:rFonts w:hint="default" w:ascii="Times New Roman" w:hAnsi="Times New Roman" w:eastAsia="仿宋_GB2312" w:cs="Times New Roman"/>
          <w:kern w:val="21"/>
          <w:sz w:val="32"/>
          <w:szCs w:val="32"/>
        </w:rPr>
        <w:t>万个；枣庄学院新校区、山东煤炭卫校新校区建成投用，枣矿集团技</w:t>
      </w:r>
      <w:r>
        <w:rPr>
          <w:rFonts w:hint="default" w:ascii="Times New Roman" w:hAnsi="Times New Roman" w:eastAsia="仿宋_GB2312" w:cs="Times New Roman"/>
          <w:color w:val="auto"/>
          <w:kern w:val="21"/>
          <w:sz w:val="32"/>
          <w:szCs w:val="32"/>
        </w:rPr>
        <w:t>术学院顺利移交，枣庄技师学院完成迁址，薛城特殊教育学校</w:t>
      </w:r>
      <w:r>
        <w:rPr>
          <w:rFonts w:hint="eastAsia" w:ascii="仿宋_GB2312" w:hAnsi="仿宋_GB2312" w:eastAsia="仿宋_GB2312" w:cs="仿宋_GB2312"/>
          <w:b w:val="0"/>
          <w:bCs w:val="0"/>
          <w:color w:val="auto"/>
          <w:sz w:val="32"/>
          <w:szCs w:val="40"/>
          <w:lang w:val="en-US" w:eastAsia="zh-CN"/>
        </w:rPr>
        <w:t>、专门教育学校</w:t>
      </w:r>
      <w:r>
        <w:rPr>
          <w:rFonts w:hint="default" w:ascii="Times New Roman" w:hAnsi="Times New Roman" w:eastAsia="仿宋_GB2312" w:cs="Times New Roman"/>
          <w:b w:val="0"/>
          <w:bCs w:val="0"/>
          <w:color w:val="auto"/>
          <w:kern w:val="21"/>
          <w:sz w:val="32"/>
          <w:szCs w:val="32"/>
        </w:rPr>
        <w:t>投入使用</w:t>
      </w:r>
      <w:r>
        <w:rPr>
          <w:rFonts w:hint="eastAsia" w:ascii="Times New Roman" w:hAnsi="Times New Roman" w:cs="Times New Roman"/>
          <w:b w:val="0"/>
          <w:bCs w:val="0"/>
          <w:color w:val="auto"/>
          <w:kern w:val="21"/>
          <w:sz w:val="32"/>
          <w:szCs w:val="32"/>
          <w:lang w:eastAsia="zh-CN"/>
        </w:rPr>
        <w:t>，</w:t>
      </w:r>
      <w:r>
        <w:rPr>
          <w:rFonts w:hint="eastAsia" w:ascii="仿宋_GB2312" w:hAnsi="仿宋_GB2312" w:eastAsia="仿宋_GB2312" w:cs="仿宋_GB2312"/>
          <w:b w:val="0"/>
          <w:bCs w:val="0"/>
          <w:color w:val="auto"/>
          <w:sz w:val="32"/>
          <w:szCs w:val="40"/>
          <w:lang w:val="en-US" w:eastAsia="zh-CN"/>
        </w:rPr>
        <w:t>获评山东省智慧教育示范区</w:t>
      </w:r>
      <w:r>
        <w:rPr>
          <w:rFonts w:hint="default" w:ascii="Times New Roman" w:hAnsi="Times New Roman" w:eastAsia="仿宋_GB2312" w:cs="Times New Roman"/>
          <w:b w:val="0"/>
          <w:bCs w:val="0"/>
          <w:color w:val="auto"/>
          <w:kern w:val="21"/>
          <w:sz w:val="32"/>
          <w:szCs w:val="32"/>
        </w:rPr>
        <w:t>。医疗卫</w:t>
      </w:r>
      <w:r>
        <w:rPr>
          <w:rFonts w:hint="default" w:ascii="Times New Roman" w:hAnsi="Times New Roman" w:eastAsia="仿宋_GB2312" w:cs="Times New Roman"/>
          <w:color w:val="auto"/>
          <w:kern w:val="21"/>
          <w:sz w:val="32"/>
          <w:szCs w:val="32"/>
        </w:rPr>
        <w:t>生服务能力显著提升，区疾病预防控制中心、新城社区卫生服务中心建成投用，完成</w:t>
      </w:r>
      <w:r>
        <w:rPr>
          <w:rFonts w:hint="default" w:ascii="Times New Roman" w:hAnsi="Times New Roman" w:cs="Times New Roman"/>
          <w:color w:val="auto"/>
          <w:kern w:val="21"/>
          <w:sz w:val="32"/>
          <w:szCs w:val="32"/>
          <w:lang w:val="en-US" w:eastAsia="zh-CN"/>
        </w:rPr>
        <w:t>32</w:t>
      </w:r>
      <w:r>
        <w:rPr>
          <w:rFonts w:hint="default" w:ascii="Times New Roman" w:hAnsi="Times New Roman" w:eastAsia="仿宋_GB2312" w:cs="Times New Roman"/>
          <w:color w:val="auto"/>
          <w:kern w:val="21"/>
          <w:sz w:val="32"/>
          <w:szCs w:val="32"/>
        </w:rPr>
        <w:t>个样板村</w:t>
      </w:r>
      <w:r>
        <w:rPr>
          <w:rFonts w:hint="eastAsia" w:ascii="Times New Roman" w:hAnsi="Times New Roman" w:cs="Times New Roman"/>
          <w:color w:val="auto"/>
          <w:kern w:val="21"/>
          <w:sz w:val="32"/>
          <w:szCs w:val="32"/>
          <w:lang w:val="en-US" w:eastAsia="zh-CN"/>
        </w:rPr>
        <w:t>卫生室</w:t>
      </w:r>
      <w:r>
        <w:rPr>
          <w:rFonts w:hint="default" w:ascii="Times New Roman" w:hAnsi="Times New Roman" w:eastAsia="仿宋_GB2312" w:cs="Times New Roman"/>
          <w:color w:val="auto"/>
          <w:kern w:val="21"/>
          <w:sz w:val="32"/>
          <w:szCs w:val="32"/>
        </w:rPr>
        <w:t>改造升级</w:t>
      </w:r>
      <w:r>
        <w:rPr>
          <w:rFonts w:hint="default" w:ascii="Times New Roman" w:hAnsi="Times New Roman" w:cs="Times New Roman"/>
          <w:color w:val="auto"/>
          <w:kern w:val="21"/>
          <w:sz w:val="32"/>
          <w:szCs w:val="32"/>
          <w:lang w:eastAsia="zh-CN"/>
        </w:rPr>
        <w:t>，</w:t>
      </w:r>
      <w:r>
        <w:rPr>
          <w:rFonts w:hint="default" w:ascii="Times New Roman" w:hAnsi="Times New Roman" w:eastAsia="仿宋_GB2312" w:cs="Times New Roman"/>
          <w:color w:val="auto"/>
          <w:kern w:val="21"/>
          <w:sz w:val="32"/>
          <w:szCs w:val="32"/>
        </w:rPr>
        <w:t>市中医医院新城西院区</w:t>
      </w:r>
      <w:r>
        <w:rPr>
          <w:rFonts w:hint="default" w:ascii="Times New Roman" w:hAnsi="Times New Roman" w:cs="Times New Roman"/>
          <w:color w:val="auto"/>
          <w:kern w:val="21"/>
          <w:sz w:val="32"/>
          <w:szCs w:val="32"/>
          <w:lang w:val="en-US" w:eastAsia="zh-CN"/>
        </w:rPr>
        <w:t>完成主体建设</w:t>
      </w:r>
      <w:r>
        <w:rPr>
          <w:rFonts w:hint="default" w:ascii="Times New Roman" w:hAnsi="Times New Roman" w:eastAsia="仿宋_GB2312" w:cs="Times New Roman"/>
          <w:color w:val="auto"/>
          <w:kern w:val="21"/>
          <w:sz w:val="32"/>
          <w:szCs w:val="32"/>
        </w:rPr>
        <w:t>，顺利通过全国基层中医药工作示范县</w:t>
      </w:r>
      <w:r>
        <w:rPr>
          <w:rFonts w:hint="default" w:ascii="Times New Roman" w:hAnsi="Times New Roman" w:cs="Times New Roman"/>
          <w:color w:val="auto"/>
          <w:kern w:val="21"/>
          <w:sz w:val="32"/>
          <w:szCs w:val="32"/>
          <w:lang w:val="en-US" w:eastAsia="zh-CN"/>
        </w:rPr>
        <w:t>现场</w:t>
      </w:r>
      <w:r>
        <w:rPr>
          <w:rFonts w:hint="default" w:ascii="Times New Roman" w:hAnsi="Times New Roman" w:eastAsia="仿宋_GB2312" w:cs="Times New Roman"/>
          <w:color w:val="auto"/>
          <w:kern w:val="21"/>
          <w:sz w:val="32"/>
          <w:szCs w:val="32"/>
        </w:rPr>
        <w:t>评估</w:t>
      </w:r>
      <w:r>
        <w:rPr>
          <w:rFonts w:hint="default" w:ascii="Times New Roman" w:hAnsi="Times New Roman" w:cs="Times New Roman"/>
          <w:color w:val="auto"/>
          <w:kern w:val="21"/>
          <w:sz w:val="32"/>
          <w:szCs w:val="32"/>
          <w:lang w:eastAsia="zh-CN"/>
        </w:rPr>
        <w:t>，</w:t>
      </w:r>
      <w:r>
        <w:rPr>
          <w:rFonts w:hint="default" w:ascii="Times New Roman" w:hAnsi="Times New Roman" w:eastAsia="仿宋_GB2312" w:cs="Times New Roman"/>
          <w:color w:val="auto"/>
          <w:kern w:val="21"/>
          <w:sz w:val="32"/>
          <w:szCs w:val="32"/>
        </w:rPr>
        <w:t>入选省级医防协同医防融合试点区</w:t>
      </w:r>
      <w:r>
        <w:rPr>
          <w:rFonts w:hint="eastAsia" w:ascii="Times New Roman" w:hAnsi="Times New Roman" w:cs="Times New Roman"/>
          <w:color w:val="auto"/>
          <w:kern w:val="21"/>
          <w:sz w:val="32"/>
          <w:szCs w:val="32"/>
          <w:lang w:eastAsia="zh-CN"/>
        </w:rPr>
        <w:t>、省级“两院一体”医养结合试点区</w:t>
      </w:r>
      <w:r>
        <w:rPr>
          <w:rFonts w:hint="default" w:ascii="Times New Roman" w:hAnsi="Times New Roman" w:eastAsia="仿宋_GB2312" w:cs="Times New Roman"/>
          <w:color w:val="auto"/>
          <w:kern w:val="21"/>
          <w:sz w:val="32"/>
          <w:szCs w:val="32"/>
        </w:rPr>
        <w:t>。康养产业高质量发展，</w:t>
      </w:r>
      <w:r>
        <w:rPr>
          <w:rFonts w:hint="default" w:ascii="Times New Roman" w:hAnsi="Times New Roman" w:eastAsia="仿宋_GB2312" w:cs="Times New Roman"/>
          <w:color w:val="auto"/>
          <w:kern w:val="21"/>
          <w:sz w:val="32"/>
          <w:szCs w:val="32"/>
          <w:highlight w:val="none"/>
        </w:rPr>
        <w:t>亲和源康养连续5年获</w:t>
      </w:r>
      <w:r>
        <w:rPr>
          <w:rFonts w:hint="default" w:ascii="Times New Roman" w:hAnsi="Times New Roman" w:eastAsia="仿宋_GB2312" w:cs="Times New Roman"/>
          <w:kern w:val="21"/>
          <w:sz w:val="32"/>
          <w:szCs w:val="32"/>
          <w:highlight w:val="none"/>
        </w:rPr>
        <w:t>评全省康养“十佳品牌”</w:t>
      </w:r>
      <w:r>
        <w:rPr>
          <w:rFonts w:hint="default" w:ascii="Times New Roman" w:hAnsi="Times New Roman" w:eastAsia="仿宋_GB2312" w:cs="Times New Roman"/>
          <w:kern w:val="21"/>
          <w:sz w:val="32"/>
          <w:szCs w:val="32"/>
        </w:rPr>
        <w:t>，成功创建国家级森林康养试点建设基地。</w:t>
      </w:r>
      <w:r>
        <w:rPr>
          <w:rFonts w:hint="default" w:ascii="Times New Roman" w:hAnsi="Times New Roman" w:eastAsia="仿宋_GB2312" w:cs="Times New Roman"/>
          <w:b/>
          <w:bCs/>
          <w:kern w:val="21"/>
          <w:sz w:val="32"/>
          <w:szCs w:val="32"/>
        </w:rPr>
        <w:t>社会治理精准高效。</w:t>
      </w:r>
      <w:r>
        <w:rPr>
          <w:rFonts w:hint="default" w:ascii="Times New Roman" w:hAnsi="Times New Roman" w:eastAsia="仿宋_GB2312" w:cs="Times New Roman"/>
          <w:b w:val="0"/>
          <w:color w:val="auto"/>
          <w:kern w:val="2"/>
          <w:sz w:val="32"/>
          <w:szCs w:val="32"/>
          <w:highlight w:val="none"/>
          <w:lang w:val="en-US" w:eastAsia="zh-CN" w:bidi="ar-SA"/>
        </w:rPr>
        <w:t>扫黑除恶专项斗争取得明显成效，凤鸣湖派出所被表彰为全国枫桥式公安派出所、沙沟镇司法所荣获全国模范司法所。</w:t>
      </w:r>
      <w:r>
        <w:rPr>
          <w:rFonts w:hint="default" w:ascii="Times New Roman" w:hAnsi="Times New Roman" w:eastAsia="仿宋_GB2312" w:cs="Times New Roman"/>
          <w:color w:val="auto"/>
          <w:sz w:val="32"/>
          <w:szCs w:val="32"/>
          <w:highlight w:val="none"/>
          <w:u w:val="none" w:color="auto"/>
          <w:lang w:val="en-US" w:eastAsia="zh-CN"/>
        </w:rPr>
        <w:t>高效统筹疫情防控和经济社会发展，有效防范化解重点领域风险隐患，守紧守牢安全发展底线</w:t>
      </w:r>
      <w:r>
        <w:rPr>
          <w:rFonts w:hint="default" w:ascii="Times New Roman" w:hAnsi="Times New Roman" w:eastAsia="仿宋_GB2312" w:cs="Times New Roman"/>
          <w:kern w:val="21"/>
          <w:sz w:val="32"/>
          <w:szCs w:val="32"/>
        </w:rPr>
        <w:t>。国防动员、双拥共建、民族宗教、妇女儿童、残疾人、红十字等工作取得新进展，社会大局保持和谐稳定。</w:t>
      </w:r>
    </w:p>
    <w:p w14:paraId="03BA673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rPr>
      </w:pPr>
      <w:r>
        <w:rPr>
          <w:rFonts w:hint="default" w:ascii="楷体_GB2312" w:hAnsi="楷体_GB2312" w:eastAsia="楷体_GB2312" w:cs="楷体_GB2312"/>
          <w:kern w:val="21"/>
          <w:sz w:val="32"/>
          <w:szCs w:val="32"/>
          <w:highlight w:val="none"/>
        </w:rPr>
        <w:t>生态环境持续改善</w:t>
      </w:r>
      <w:r>
        <w:rPr>
          <w:rFonts w:hint="default" w:ascii="楷体_GB2312" w:hAnsi="楷体_GB2312" w:eastAsia="楷体_GB2312" w:cs="楷体_GB2312"/>
          <w:kern w:val="21"/>
          <w:sz w:val="32"/>
          <w:szCs w:val="32"/>
          <w:highlight w:val="none"/>
          <w:lang w:eastAsia="zh-CN"/>
        </w:rPr>
        <w:t>。</w:t>
      </w:r>
      <w:r>
        <w:rPr>
          <w:rFonts w:hint="default" w:ascii="Times New Roman" w:hAnsi="Times New Roman" w:eastAsia="仿宋_GB2312" w:cs="Times New Roman"/>
          <w:b/>
          <w:bCs/>
          <w:kern w:val="21"/>
          <w:sz w:val="32"/>
          <w:szCs w:val="32"/>
        </w:rPr>
        <w:t>污染防治攻坚成效显著。</w:t>
      </w:r>
      <w:r>
        <w:rPr>
          <w:rFonts w:hint="default" w:ascii="Times New Roman" w:hAnsi="Times New Roman" w:eastAsia="仿宋_GB2312" w:cs="Times New Roman"/>
          <w:kern w:val="21"/>
          <w:sz w:val="32"/>
          <w:szCs w:val="32"/>
        </w:rPr>
        <w:t>深入打好蓝天、碧水、净土保卫战，空气质量持续改善，优良天数比例不断提高</w:t>
      </w:r>
      <w:r>
        <w:rPr>
          <w:rFonts w:hint="default" w:ascii="Times New Roman" w:hAnsi="Times New Roman" w:cs="Times New Roman"/>
          <w:kern w:val="21"/>
          <w:sz w:val="32"/>
          <w:szCs w:val="32"/>
          <w:lang w:eastAsia="zh-CN"/>
        </w:rPr>
        <w:t>，</w:t>
      </w:r>
      <w:r>
        <w:rPr>
          <w:rFonts w:hint="default" w:ascii="Times New Roman" w:hAnsi="Times New Roman" w:eastAsia="仿宋_GB2312" w:cs="Times New Roman"/>
          <w:b w:val="0"/>
          <w:color w:val="auto"/>
          <w:kern w:val="2"/>
          <w:sz w:val="32"/>
          <w:szCs w:val="32"/>
          <w:highlight w:val="none"/>
          <w:lang w:val="en-US" w:eastAsia="zh-CN" w:bidi="ar-SA"/>
        </w:rPr>
        <w:t>空气质量综合指数较2020年改善25.4%</w:t>
      </w:r>
      <w:r>
        <w:rPr>
          <w:rFonts w:hint="default" w:ascii="Times New Roman" w:hAnsi="Times New Roman"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kern w:val="2"/>
          <w:sz w:val="32"/>
          <w:szCs w:val="32"/>
          <w:highlight w:val="none"/>
          <w:lang w:val="en-US" w:eastAsia="zh-CN" w:bidi="ar-SA"/>
        </w:rPr>
        <w:t>成功创建国家生态文明建设示范区</w:t>
      </w:r>
      <w:r>
        <w:rPr>
          <w:rFonts w:hint="default" w:ascii="Times New Roman" w:hAnsi="Times New Roman" w:eastAsia="仿宋_GB2312" w:cs="Times New Roman"/>
          <w:kern w:val="21"/>
          <w:sz w:val="32"/>
          <w:szCs w:val="32"/>
        </w:rPr>
        <w:t>；严格落实河湖长制，常态化开展河湖“清四乱”行动，国省控断面水质达标率、重点建设用地安全利用率均保持100%，农村黑臭水体动态清零。</w:t>
      </w:r>
      <w:r>
        <w:rPr>
          <w:rFonts w:hint="default" w:ascii="Times New Roman" w:hAnsi="Times New Roman" w:eastAsia="仿宋_GB2312" w:cs="Times New Roman"/>
          <w:b/>
          <w:bCs/>
          <w:kern w:val="21"/>
          <w:sz w:val="32"/>
          <w:szCs w:val="32"/>
        </w:rPr>
        <w:t>生态修复与保护扎实推进。</w:t>
      </w:r>
      <w:r>
        <w:rPr>
          <w:rFonts w:hint="default" w:ascii="Times New Roman" w:hAnsi="Times New Roman" w:eastAsia="仿宋_GB2312" w:cs="Times New Roman"/>
          <w:kern w:val="21"/>
          <w:sz w:val="32"/>
          <w:szCs w:val="32"/>
        </w:rPr>
        <w:t>深入实施“山水林田大会战”，累计实施生态修复项目</w:t>
      </w:r>
      <w:r>
        <w:rPr>
          <w:rFonts w:hint="default" w:ascii="Times New Roman" w:hAnsi="Times New Roman" w:cs="Times New Roman"/>
          <w:kern w:val="21"/>
          <w:sz w:val="32"/>
          <w:szCs w:val="32"/>
          <w:lang w:val="en-US" w:eastAsia="zh-CN"/>
        </w:rPr>
        <w:t>168</w:t>
      </w:r>
      <w:r>
        <w:rPr>
          <w:rFonts w:hint="default" w:ascii="Times New Roman" w:hAnsi="Times New Roman" w:eastAsia="仿宋_GB2312" w:cs="Times New Roman"/>
          <w:kern w:val="21"/>
          <w:sz w:val="32"/>
          <w:szCs w:val="32"/>
        </w:rPr>
        <w:t>个，完成造林绿化</w:t>
      </w:r>
      <w:r>
        <w:rPr>
          <w:rFonts w:hint="default" w:ascii="Times New Roman" w:hAnsi="Times New Roman" w:cs="Times New Roman"/>
          <w:kern w:val="21"/>
          <w:sz w:val="32"/>
          <w:szCs w:val="32"/>
          <w:lang w:val="en-US" w:eastAsia="zh-CN"/>
        </w:rPr>
        <w:t>8931</w:t>
      </w:r>
      <w:r>
        <w:rPr>
          <w:rFonts w:hint="default" w:ascii="Times New Roman" w:hAnsi="Times New Roman" w:eastAsia="仿宋_GB2312" w:cs="Times New Roman"/>
          <w:kern w:val="21"/>
          <w:sz w:val="32"/>
          <w:szCs w:val="32"/>
        </w:rPr>
        <w:t>亩、破损山体治理</w:t>
      </w:r>
      <w:r>
        <w:rPr>
          <w:rFonts w:hint="default" w:ascii="Times New Roman" w:hAnsi="Times New Roman" w:cs="Times New Roman"/>
          <w:kern w:val="21"/>
          <w:sz w:val="32"/>
          <w:szCs w:val="32"/>
          <w:lang w:val="en-US" w:eastAsia="zh-CN"/>
        </w:rPr>
        <w:t>15</w:t>
      </w:r>
      <w:r>
        <w:rPr>
          <w:rFonts w:hint="default" w:ascii="Times New Roman" w:hAnsi="Times New Roman" w:eastAsia="仿宋_GB2312" w:cs="Times New Roman"/>
          <w:kern w:val="21"/>
          <w:sz w:val="32"/>
          <w:szCs w:val="32"/>
        </w:rPr>
        <w:t>处、</w:t>
      </w:r>
      <w:r>
        <w:rPr>
          <w:rFonts w:hint="default" w:ascii="Times New Roman" w:hAnsi="Times New Roman" w:eastAsia="仿宋_GB2312" w:cs="Times New Roman"/>
          <w:b w:val="0"/>
          <w:color w:val="auto"/>
          <w:kern w:val="2"/>
          <w:sz w:val="32"/>
          <w:szCs w:val="32"/>
          <w:highlight w:val="none"/>
          <w:lang w:val="en-US" w:eastAsia="zh-CN" w:bidi="ar-SA"/>
        </w:rPr>
        <w:t>湿地修复1156亩</w:t>
      </w:r>
      <w:r>
        <w:rPr>
          <w:rFonts w:hint="default" w:ascii="Times New Roman" w:hAnsi="Times New Roman" w:cs="Times New Roman"/>
          <w:b w:val="0"/>
          <w:color w:val="auto"/>
          <w:kern w:val="2"/>
          <w:sz w:val="32"/>
          <w:szCs w:val="32"/>
          <w:highlight w:val="none"/>
          <w:lang w:val="en-US" w:eastAsia="zh-CN" w:bidi="ar-SA"/>
        </w:rPr>
        <w:t>、</w:t>
      </w:r>
      <w:r>
        <w:rPr>
          <w:rFonts w:hint="default" w:ascii="Times New Roman" w:hAnsi="Times New Roman" w:eastAsia="仿宋_GB2312" w:cs="Times New Roman"/>
          <w:kern w:val="21"/>
          <w:sz w:val="32"/>
          <w:szCs w:val="32"/>
        </w:rPr>
        <w:t>生态廊道提升</w:t>
      </w:r>
      <w:r>
        <w:rPr>
          <w:rFonts w:hint="default" w:ascii="Times New Roman" w:hAnsi="Times New Roman" w:cs="Times New Roman"/>
          <w:kern w:val="21"/>
          <w:sz w:val="32"/>
          <w:szCs w:val="32"/>
          <w:lang w:val="en-US" w:eastAsia="zh-CN"/>
        </w:rPr>
        <w:t>89.3</w:t>
      </w:r>
      <w:r>
        <w:rPr>
          <w:rFonts w:hint="default" w:ascii="Times New Roman" w:hAnsi="Times New Roman" w:eastAsia="仿宋_GB2312" w:cs="Times New Roman"/>
          <w:kern w:val="21"/>
          <w:sz w:val="32"/>
          <w:szCs w:val="32"/>
        </w:rPr>
        <w:t>公里</w:t>
      </w:r>
      <w:r>
        <w:rPr>
          <w:rFonts w:hint="default" w:ascii="Times New Roman" w:hAnsi="Times New Roman" w:cs="Times New Roman"/>
          <w:kern w:val="21"/>
          <w:sz w:val="32"/>
          <w:szCs w:val="32"/>
          <w:lang w:eastAsia="zh-CN"/>
        </w:rPr>
        <w:t>。</w:t>
      </w:r>
      <w:r>
        <w:rPr>
          <w:rFonts w:hint="default" w:ascii="Times New Roman" w:hAnsi="Times New Roman" w:eastAsia="仿宋_GB2312" w:cs="Times New Roman"/>
          <w:kern w:val="21"/>
          <w:sz w:val="32"/>
          <w:szCs w:val="32"/>
        </w:rPr>
        <w:t>成功创建国家生态文明建设示范区、省现代水网示范区</w:t>
      </w:r>
      <w:r>
        <w:rPr>
          <w:rFonts w:hint="default" w:ascii="Times New Roman" w:hAnsi="Times New Roman" w:cs="Times New Roman"/>
          <w:kern w:val="21"/>
          <w:sz w:val="32"/>
          <w:szCs w:val="32"/>
          <w:lang w:eastAsia="zh-CN"/>
        </w:rPr>
        <w:t>，</w:t>
      </w:r>
      <w:r>
        <w:rPr>
          <w:rFonts w:hint="default" w:ascii="Times New Roman" w:hAnsi="Times New Roman" w:eastAsia="仿宋_GB2312" w:cs="Times New Roman"/>
          <w:kern w:val="21"/>
          <w:sz w:val="32"/>
          <w:szCs w:val="32"/>
        </w:rPr>
        <w:t>蟠龙河（薛城段）</w:t>
      </w:r>
      <w:r>
        <w:rPr>
          <w:rFonts w:hint="default" w:ascii="Times New Roman" w:hAnsi="Times New Roman" w:cs="Times New Roman"/>
          <w:kern w:val="21"/>
          <w:sz w:val="32"/>
          <w:szCs w:val="32"/>
          <w:lang w:eastAsia="zh-CN"/>
        </w:rPr>
        <w:t>、</w:t>
      </w:r>
      <w:r>
        <w:rPr>
          <w:rFonts w:hint="default" w:ascii="Times New Roman" w:hAnsi="Times New Roman" w:cs="Times New Roman"/>
          <w:kern w:val="21"/>
          <w:sz w:val="32"/>
          <w:szCs w:val="32"/>
          <w:lang w:val="en-US" w:eastAsia="zh-CN"/>
        </w:rPr>
        <w:t>周营大沙河</w:t>
      </w:r>
      <w:r>
        <w:rPr>
          <w:rFonts w:hint="default" w:ascii="Times New Roman" w:hAnsi="Times New Roman" w:eastAsia="仿宋_GB2312" w:cs="Times New Roman"/>
          <w:kern w:val="21"/>
          <w:sz w:val="32"/>
          <w:szCs w:val="32"/>
        </w:rPr>
        <w:t>获评省级美丽河湖</w:t>
      </w:r>
      <w:r>
        <w:rPr>
          <w:rFonts w:hint="default" w:ascii="Times New Roman" w:hAnsi="Times New Roman" w:cs="Times New Roman"/>
          <w:kern w:val="21"/>
          <w:sz w:val="32"/>
          <w:szCs w:val="32"/>
          <w:highlight w:val="none"/>
          <w:lang w:eastAsia="zh-CN"/>
        </w:rPr>
        <w:t>，</w:t>
      </w:r>
      <w:r>
        <w:rPr>
          <w:rFonts w:hint="default" w:ascii="Times New Roman" w:hAnsi="Times New Roman" w:eastAsia="仿宋_GB2312" w:cs="Times New Roman"/>
          <w:b w:val="0"/>
          <w:color w:val="auto"/>
          <w:kern w:val="2"/>
          <w:sz w:val="32"/>
          <w:szCs w:val="32"/>
          <w:highlight w:val="none"/>
          <w:lang w:val="en-US" w:eastAsia="zh-CN" w:bidi="ar-SA"/>
        </w:rPr>
        <w:t>成功创建省级以上幸福河湖8条，建成千里生态幸福水廊98公里</w:t>
      </w:r>
      <w:r>
        <w:rPr>
          <w:rFonts w:hint="default" w:ascii="Times New Roman" w:hAnsi="Times New Roman" w:eastAsia="仿宋_GB2312" w:cs="Times New Roman"/>
          <w:kern w:val="21"/>
          <w:sz w:val="32"/>
          <w:szCs w:val="32"/>
          <w:highlight w:val="none"/>
        </w:rPr>
        <w:t>。</w:t>
      </w:r>
      <w:r>
        <w:rPr>
          <w:rFonts w:hint="default" w:ascii="Times New Roman" w:hAnsi="Times New Roman" w:eastAsia="仿宋_GB2312" w:cs="Times New Roman"/>
          <w:b/>
          <w:bCs/>
          <w:kern w:val="21"/>
          <w:sz w:val="32"/>
          <w:szCs w:val="32"/>
        </w:rPr>
        <w:t>绿色低碳转型步伐加快。</w:t>
      </w:r>
      <w:r>
        <w:rPr>
          <w:rFonts w:hint="default" w:ascii="Times New Roman" w:hAnsi="Times New Roman" w:eastAsia="仿宋_GB2312" w:cs="Times New Roman"/>
          <w:kern w:val="21"/>
          <w:sz w:val="32"/>
          <w:szCs w:val="32"/>
        </w:rPr>
        <w:t>严格落实“双碳”战略要求，严控“两高”项目盲目发展，深入实施“四减四增”行动</w:t>
      </w:r>
      <w:r>
        <w:rPr>
          <w:rFonts w:hint="default" w:ascii="Times New Roman" w:hAnsi="Times New Roman" w:cs="Times New Roman"/>
          <w:kern w:val="21"/>
          <w:sz w:val="32"/>
          <w:szCs w:val="32"/>
          <w:lang w:eastAsia="zh-CN"/>
        </w:rPr>
        <w:t>，</w:t>
      </w:r>
      <w:r>
        <w:rPr>
          <w:rFonts w:hint="default" w:ascii="Times New Roman" w:hAnsi="Times New Roman" w:cs="Times New Roman"/>
          <w:kern w:val="21"/>
          <w:sz w:val="32"/>
          <w:szCs w:val="32"/>
          <w:lang w:val="en-US" w:eastAsia="zh-CN"/>
        </w:rPr>
        <w:t>全面完成煤炭消费压减任务</w:t>
      </w:r>
      <w:r>
        <w:rPr>
          <w:rFonts w:hint="default" w:ascii="Times New Roman" w:hAnsi="Times New Roman" w:cs="Times New Roman"/>
          <w:kern w:val="21"/>
          <w:sz w:val="32"/>
          <w:szCs w:val="32"/>
          <w:lang w:eastAsia="zh-CN"/>
        </w:rPr>
        <w:t>。开发区入选省信用管理典型园区、省级绿色</w:t>
      </w:r>
      <w:r>
        <w:rPr>
          <w:rFonts w:hint="default" w:ascii="Times New Roman" w:hAnsi="Times New Roman" w:cs="Times New Roman"/>
          <w:kern w:val="21"/>
          <w:sz w:val="32"/>
          <w:szCs w:val="32"/>
          <w:lang w:val="en-US" w:eastAsia="zh-CN"/>
        </w:rPr>
        <w:t>工业</w:t>
      </w:r>
      <w:r>
        <w:rPr>
          <w:rFonts w:hint="default" w:ascii="Times New Roman" w:hAnsi="Times New Roman" w:cs="Times New Roman"/>
          <w:kern w:val="21"/>
          <w:sz w:val="32"/>
          <w:szCs w:val="32"/>
          <w:lang w:eastAsia="zh-CN"/>
        </w:rPr>
        <w:t>园区，</w:t>
      </w:r>
      <w:r>
        <w:rPr>
          <w:rFonts w:hint="default" w:ascii="Times New Roman" w:hAnsi="Times New Roman" w:eastAsia="仿宋_GB2312" w:cs="Times New Roman"/>
          <w:kern w:val="21"/>
          <w:sz w:val="32"/>
          <w:szCs w:val="32"/>
        </w:rPr>
        <w:t>青啤（枣庄）公司、鲁南泰山石膏入选“国家级绿色工厂”，</w:t>
      </w:r>
      <w:r>
        <w:rPr>
          <w:rFonts w:hint="default" w:ascii="Times New Roman" w:hAnsi="Times New Roman" w:cs="Times New Roman"/>
          <w:kern w:val="21"/>
          <w:sz w:val="32"/>
          <w:szCs w:val="32"/>
          <w:lang w:val="en-US" w:eastAsia="zh-CN"/>
        </w:rPr>
        <w:t>绿色发展扎实推进</w:t>
      </w:r>
      <w:r>
        <w:rPr>
          <w:rFonts w:hint="default" w:ascii="Times New Roman" w:hAnsi="Times New Roman" w:eastAsia="仿宋_GB2312" w:cs="Times New Roman"/>
          <w:kern w:val="21"/>
          <w:sz w:val="32"/>
          <w:szCs w:val="32"/>
        </w:rPr>
        <w:t>。</w:t>
      </w:r>
    </w:p>
    <w:p w14:paraId="328EADE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rPr>
      </w:pPr>
      <w:r>
        <w:rPr>
          <w:rFonts w:hint="default" w:ascii="Times New Roman" w:hAnsi="Times New Roman" w:eastAsia="仿宋_GB2312" w:cs="Times New Roman"/>
          <w:kern w:val="21"/>
          <w:sz w:val="32"/>
          <w:szCs w:val="32"/>
        </w:rPr>
        <w:t>五年来的实践中，</w:t>
      </w:r>
      <w:r>
        <w:rPr>
          <w:rFonts w:hint="default" w:ascii="Times New Roman" w:hAnsi="Times New Roman" w:cs="Times New Roman"/>
          <w:kern w:val="21"/>
          <w:sz w:val="32"/>
          <w:szCs w:val="32"/>
          <w:lang w:val="en-US" w:eastAsia="zh-CN"/>
        </w:rPr>
        <w:t>薛城区</w:t>
      </w:r>
      <w:r>
        <w:rPr>
          <w:rFonts w:hint="default" w:ascii="Times New Roman" w:hAnsi="Times New Roman" w:eastAsia="仿宋_GB2312" w:cs="Times New Roman"/>
          <w:b w:val="0"/>
          <w:bCs w:val="0"/>
          <w:color w:val="auto"/>
          <w:spacing w:val="-6"/>
          <w:kern w:val="2"/>
          <w:sz w:val="32"/>
          <w:szCs w:val="32"/>
          <w:highlight w:val="none"/>
          <w:u w:val="none" w:color="auto"/>
          <w:shd w:val="clear" w:color="auto" w:fill="auto"/>
          <w:lang w:val="en-US" w:eastAsia="zh-CN" w:bidi="ar-SA"/>
        </w:rPr>
        <w:t>始终按照习近平总书记重要指示要求，</w:t>
      </w:r>
      <w:r>
        <w:rPr>
          <w:rFonts w:hint="default" w:ascii="Times New Roman" w:hAnsi="Times New Roman" w:eastAsia="仿宋_GB2312" w:cs="Times New Roman"/>
          <w:kern w:val="21"/>
          <w:sz w:val="32"/>
          <w:szCs w:val="32"/>
        </w:rPr>
        <w:t>在转型发展中勇毅前行，在攻坚克难中砥砺奋进，</w:t>
      </w:r>
      <w:r>
        <w:rPr>
          <w:rFonts w:hint="default" w:ascii="Times New Roman" w:hAnsi="Times New Roman" w:cs="Times New Roman"/>
          <w:kern w:val="21"/>
          <w:sz w:val="32"/>
          <w:szCs w:val="32"/>
          <w:lang w:val="en-US" w:eastAsia="zh-CN"/>
        </w:rPr>
        <w:t>经济社会发展取得重大成就。</w:t>
      </w:r>
      <w:r>
        <w:rPr>
          <w:rFonts w:hint="default" w:ascii="Times New Roman" w:hAnsi="Times New Roman" w:eastAsia="仿宋_GB2312" w:cs="Times New Roman"/>
          <w:kern w:val="21"/>
          <w:sz w:val="32"/>
          <w:szCs w:val="32"/>
        </w:rPr>
        <w:t>这些重要成就的取得</w:t>
      </w:r>
      <w:r>
        <w:rPr>
          <w:rFonts w:hint="default" w:ascii="Times New Roman" w:hAnsi="Times New Roman" w:eastAsia="仿宋_GB2312" w:cs="Times New Roman"/>
          <w:b w:val="0"/>
          <w:bCs w:val="0"/>
          <w:color w:val="auto"/>
          <w:spacing w:val="-6"/>
          <w:kern w:val="2"/>
          <w:sz w:val="32"/>
          <w:szCs w:val="32"/>
          <w:highlight w:val="none"/>
          <w:u w:val="none" w:color="auto"/>
          <w:shd w:val="clear" w:color="auto" w:fill="auto"/>
          <w:lang w:val="en-US" w:eastAsia="zh-CN" w:bidi="ar-SA"/>
        </w:rPr>
        <w:t>，根本在于以习近平同志为核心的党中央坚强领导，在于习近平新时代中国特色社会主义思想科学指引，在于习近平总书记的亲切关怀和把舵领航，</w:t>
      </w:r>
      <w:r>
        <w:rPr>
          <w:rFonts w:hint="default" w:ascii="Times New Roman" w:hAnsi="Times New Roman" w:cs="Times New Roman"/>
          <w:b w:val="0"/>
          <w:bCs w:val="0"/>
          <w:color w:val="auto"/>
          <w:spacing w:val="-6"/>
          <w:kern w:val="2"/>
          <w:sz w:val="32"/>
          <w:szCs w:val="32"/>
          <w:highlight w:val="none"/>
          <w:u w:val="none" w:color="auto"/>
          <w:shd w:val="clear" w:color="auto" w:fill="auto"/>
          <w:lang w:val="en-US" w:eastAsia="zh-CN" w:bidi="ar-SA"/>
        </w:rPr>
        <w:t>在于</w:t>
      </w:r>
      <w:r>
        <w:rPr>
          <w:rFonts w:hint="eastAsia" w:ascii="Times New Roman" w:hAnsi="Times New Roman" w:cs="Times New Roman"/>
          <w:b w:val="0"/>
          <w:bCs w:val="0"/>
          <w:color w:val="auto"/>
          <w:spacing w:val="-6"/>
          <w:kern w:val="2"/>
          <w:sz w:val="32"/>
          <w:szCs w:val="32"/>
          <w:highlight w:val="none"/>
          <w:u w:val="none" w:color="auto"/>
          <w:shd w:val="clear" w:color="auto" w:fill="auto"/>
          <w:lang w:val="en-US" w:eastAsia="zh-CN" w:bidi="ar-SA"/>
        </w:rPr>
        <w:t>省委</w:t>
      </w:r>
      <w:r>
        <w:rPr>
          <w:rFonts w:hint="default" w:ascii="Times New Roman" w:hAnsi="Times New Roman" w:cs="Times New Roman"/>
          <w:b w:val="0"/>
          <w:bCs w:val="0"/>
          <w:color w:val="auto"/>
          <w:spacing w:val="-6"/>
          <w:kern w:val="2"/>
          <w:sz w:val="32"/>
          <w:szCs w:val="32"/>
          <w:highlight w:val="none"/>
          <w:u w:val="none" w:color="auto"/>
          <w:shd w:val="clear" w:color="auto" w:fill="auto"/>
          <w:lang w:val="en-US" w:eastAsia="zh-CN" w:bidi="ar-SA"/>
        </w:rPr>
        <w:t>、省政府和市委、市政府的坚强领导，</w:t>
      </w:r>
      <w:r>
        <w:rPr>
          <w:rFonts w:hint="default" w:ascii="Times New Roman" w:hAnsi="Times New Roman" w:eastAsia="仿宋_GB2312" w:cs="Times New Roman"/>
          <w:kern w:val="21"/>
          <w:sz w:val="32"/>
          <w:szCs w:val="32"/>
        </w:rPr>
        <w:t>是历届区委接续奋斗、全区人民团结拼搏的结果。</w:t>
      </w:r>
    </w:p>
    <w:p w14:paraId="390ACD85">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default" w:ascii="Times New Roman" w:hAnsi="Times New Roman" w:eastAsia="楷体_GB2312" w:cs="Times New Roman"/>
          <w:kern w:val="21"/>
          <w:sz w:val="32"/>
          <w:szCs w:val="32"/>
          <w:highlight w:val="none"/>
          <w:lang w:val="en-US" w:eastAsia="zh-CN"/>
        </w:rPr>
      </w:pPr>
      <w:bookmarkStart w:id="5" w:name="_Toc1594585819"/>
      <w:r>
        <w:rPr>
          <w:rFonts w:hint="default" w:ascii="Times New Roman" w:hAnsi="Times New Roman" w:eastAsia="楷体_GB2312" w:cs="Times New Roman"/>
          <w:kern w:val="21"/>
          <w:sz w:val="32"/>
          <w:szCs w:val="32"/>
          <w:highlight w:val="none"/>
          <w:lang w:val="en-US" w:eastAsia="zh-CN"/>
        </w:rPr>
        <w:t>第二节  “十五五”时期面临新环境新机遇新挑战</w:t>
      </w:r>
      <w:bookmarkEnd w:id="5"/>
    </w:p>
    <w:p w14:paraId="793597D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rPr>
      </w:pPr>
      <w:r>
        <w:rPr>
          <w:rFonts w:hint="default" w:ascii="Times New Roman" w:hAnsi="Times New Roman" w:eastAsia="仿宋_GB2312" w:cs="Times New Roman"/>
          <w:kern w:val="21"/>
          <w:sz w:val="32"/>
          <w:szCs w:val="32"/>
        </w:rPr>
        <w:t>“十五五”时期是我国基本实现社会主义现代化夯实基础、全面发力的关键时期，也是薛城抢抓国家重大战略机遇、推动高质量转型的关键攻坚期。面对深刻变化的国内外环境，必须科学研判面临的新机遇与新挑战，以更加坚定的信心、更加务实的举措、更加昂扬的斗志，不断为全面建设社会主义现代化国家贡献薛城力量。</w:t>
      </w:r>
    </w:p>
    <w:p w14:paraId="6A279AF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rPr>
      </w:pPr>
      <w:r>
        <w:rPr>
          <w:rFonts w:hint="default" w:ascii="楷体_GB2312" w:hAnsi="楷体_GB2312" w:eastAsia="楷体_GB2312" w:cs="楷体_GB2312"/>
          <w:kern w:val="21"/>
          <w:sz w:val="32"/>
          <w:szCs w:val="32"/>
          <w:highlight w:val="none"/>
        </w:rPr>
        <w:t>深刻认识发展环境的新机遇。</w:t>
      </w:r>
      <w:r>
        <w:rPr>
          <w:rFonts w:hint="default" w:ascii="Times New Roman" w:hAnsi="Times New Roman" w:eastAsia="仿宋_GB2312" w:cs="Times New Roman"/>
          <w:kern w:val="21"/>
          <w:sz w:val="32"/>
          <w:szCs w:val="32"/>
        </w:rPr>
        <w:t>我国经济基础稳、优势多、韧性强、潜能大，长期向好的支撑条件和基本趋势没有变，消费潜力大、投资空间广、内生动力足以及法治环境和营商环境持续改善，对全球资源要素形成强大吸引力，有利于我区激发创新活力、拓展市场空间，更好实现质的有效提升和量的合理增长。新一轮科技革命和产业变革加速突破，全球科技创新进入密集活跃期，集成电路、人工智能、量子科技、生物科技、新能源、新材料等领域技术加速迭代、融合应用，我国在部分领域已形成先发优势，新技术应用场景和市场空间广阔，为我国抢占技术和产业发展先机提供了有利条件，有利于我区推动产业提档升级、加快构建以先进制造业为骨干的现代化产业体系。中央明确2026年继续实施更加积极的财政政策，持续加大对科技创新、产业转型和扩大内需的支持力度，为</w:t>
      </w:r>
      <w:r>
        <w:rPr>
          <w:rFonts w:hint="default" w:ascii="Times New Roman" w:hAnsi="Times New Roman" w:cs="Times New Roman"/>
          <w:kern w:val="21"/>
          <w:sz w:val="32"/>
          <w:szCs w:val="32"/>
          <w:lang w:val="en-US" w:eastAsia="zh-CN"/>
        </w:rPr>
        <w:t>我区</w:t>
      </w:r>
      <w:r>
        <w:rPr>
          <w:rFonts w:hint="default" w:ascii="Times New Roman" w:hAnsi="Times New Roman" w:eastAsia="仿宋_GB2312" w:cs="Times New Roman"/>
          <w:kern w:val="21"/>
          <w:sz w:val="32"/>
          <w:szCs w:val="32"/>
        </w:rPr>
        <w:t>争取</w:t>
      </w:r>
      <w:r>
        <w:rPr>
          <w:rFonts w:hint="default" w:ascii="Times New Roman" w:hAnsi="Times New Roman" w:eastAsia="仿宋_GB2312" w:cs="Times New Roman"/>
          <w:spacing w:val="-6"/>
          <w:kern w:val="21"/>
          <w:sz w:val="32"/>
          <w:szCs w:val="32"/>
        </w:rPr>
        <w:t>重大项目、政策资源和关键要素提供了重要契机，带来更多利好。</w:t>
      </w:r>
    </w:p>
    <w:p w14:paraId="4C05DCC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楷体_GB2312" w:cs="Times New Roman"/>
          <w:kern w:val="21"/>
          <w:sz w:val="32"/>
          <w:szCs w:val="32"/>
          <w:highlight w:val="yellow"/>
          <w:lang w:val="en-US" w:eastAsia="zh-CN"/>
        </w:rPr>
      </w:pPr>
      <w:r>
        <w:rPr>
          <w:rFonts w:hint="default" w:ascii="Times New Roman" w:hAnsi="Times New Roman" w:eastAsia="楷体_GB2312" w:cs="Times New Roman"/>
          <w:kern w:val="21"/>
          <w:sz w:val="32"/>
          <w:szCs w:val="32"/>
        </w:rPr>
        <w:t>全面把握区内发展的新优势</w:t>
      </w:r>
      <w:r>
        <w:rPr>
          <w:rFonts w:hint="default" w:ascii="Times New Roman" w:hAnsi="Times New Roman" w:eastAsia="楷体_GB2312" w:cs="Times New Roman"/>
          <w:kern w:val="21"/>
          <w:sz w:val="32"/>
          <w:szCs w:val="32"/>
          <w:highlight w:val="none"/>
        </w:rPr>
        <w:t>。</w:t>
      </w:r>
      <w:r>
        <w:rPr>
          <w:rFonts w:hint="default" w:ascii="Times New Roman" w:hAnsi="Times New Roman" w:eastAsia="仿宋_GB2312" w:cs="Times New Roman"/>
          <w:b w:val="0"/>
          <w:bCs w:val="0"/>
          <w:kern w:val="21"/>
          <w:sz w:val="32"/>
          <w:szCs w:val="32"/>
          <w:highlight w:val="none"/>
          <w:lang w:val="en-US" w:eastAsia="zh-CN"/>
        </w:rPr>
        <w:t>京台高速扩建</w:t>
      </w:r>
      <w:r>
        <w:rPr>
          <w:rFonts w:hint="default" w:ascii="Times New Roman" w:hAnsi="Times New Roman" w:cs="Times New Roman"/>
          <w:b w:val="0"/>
          <w:bCs w:val="0"/>
          <w:kern w:val="21"/>
          <w:sz w:val="32"/>
          <w:szCs w:val="32"/>
          <w:highlight w:val="none"/>
          <w:lang w:val="en-US" w:eastAsia="zh-CN"/>
        </w:rPr>
        <w:t>、世纪大道、枣庄港铁路运输专用线等重大交通基础设施相继建成，我区交通优势愈发突出，有利于人流、物流、信息流加速融合。近年来，我区</w:t>
      </w:r>
      <w:r>
        <w:rPr>
          <w:rFonts w:hint="eastAsia" w:ascii="Times New Roman" w:hAnsi="Times New Roman" w:cs="Times New Roman"/>
          <w:b w:val="0"/>
          <w:bCs w:val="0"/>
          <w:kern w:val="21"/>
          <w:sz w:val="32"/>
          <w:szCs w:val="32"/>
          <w:highlight w:val="none"/>
          <w:lang w:val="en-US" w:eastAsia="zh-CN"/>
        </w:rPr>
        <w:t>化工新材料</w:t>
      </w:r>
      <w:r>
        <w:rPr>
          <w:rFonts w:hint="default" w:ascii="Times New Roman" w:hAnsi="Times New Roman" w:cs="Times New Roman"/>
          <w:b w:val="0"/>
          <w:bCs w:val="0"/>
          <w:kern w:val="21"/>
          <w:sz w:val="32"/>
          <w:szCs w:val="32"/>
          <w:highlight w:val="none"/>
          <w:lang w:val="en-US" w:eastAsia="zh-CN"/>
        </w:rPr>
        <w:t>、装备制造等产业不</w:t>
      </w:r>
      <w:r>
        <w:rPr>
          <w:rFonts w:hint="default" w:ascii="Times New Roman" w:hAnsi="Times New Roman" w:cs="Times New Roman"/>
          <w:b w:val="0"/>
          <w:bCs w:val="0"/>
          <w:kern w:val="21"/>
          <w:sz w:val="32"/>
          <w:szCs w:val="32"/>
          <w:lang w:val="en-US" w:eastAsia="zh-CN"/>
        </w:rPr>
        <w:t>断发展壮大，低空经济集聚成势，为经济发展注入新活力。市委、市政府高度重视城市建设工作，</w:t>
      </w:r>
      <w:r>
        <w:rPr>
          <w:rFonts w:hint="default" w:ascii="Times New Roman" w:hAnsi="Times New Roman" w:eastAsia="仿宋_GB2312" w:cs="Times New Roman"/>
          <w:kern w:val="21"/>
          <w:sz w:val="32"/>
          <w:szCs w:val="32"/>
        </w:rPr>
        <w:t>先后召开城市工作和城建工作动员会议，</w:t>
      </w:r>
      <w:r>
        <w:rPr>
          <w:rFonts w:hint="default" w:ascii="Times New Roman" w:hAnsi="Times New Roman" w:cs="Times New Roman"/>
          <w:b w:val="0"/>
          <w:bCs w:val="0"/>
          <w:kern w:val="21"/>
          <w:sz w:val="32"/>
          <w:szCs w:val="32"/>
          <w:lang w:val="en-US" w:eastAsia="zh-CN"/>
        </w:rPr>
        <w:t>我区作为市驻地和中心城区核心区，承接了大量城市建设项目与政策红利，市城建工作动员会2026年谋划实施的14个重大项目中，有11个坐落在我区，</w:t>
      </w:r>
      <w:r>
        <w:rPr>
          <w:rFonts w:hint="default" w:ascii="Times New Roman" w:hAnsi="Times New Roman" w:cs="Times New Roman"/>
          <w:b w:val="0"/>
          <w:bCs w:val="0"/>
          <w:kern w:val="21"/>
          <w:sz w:val="32"/>
          <w:szCs w:val="32"/>
          <w:highlight w:val="none"/>
          <w:lang w:val="en-US" w:eastAsia="zh-CN"/>
        </w:rPr>
        <w:t>将显著增强城市承载能力、改善人居品质、有效拉动投资、带动关联产业发展，为我区经济持续健康发展注入强劲动能。</w:t>
      </w:r>
    </w:p>
    <w:p w14:paraId="02EB405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rPr>
      </w:pPr>
      <w:r>
        <w:rPr>
          <w:rFonts w:hint="default" w:ascii="Times New Roman" w:hAnsi="Times New Roman" w:eastAsia="楷体_GB2312" w:cs="Times New Roman"/>
          <w:kern w:val="21"/>
          <w:sz w:val="32"/>
          <w:szCs w:val="32"/>
        </w:rPr>
        <w:t>清醒应对转型发展的新挑战。</w:t>
      </w:r>
      <w:r>
        <w:rPr>
          <w:rFonts w:hint="default" w:ascii="Times New Roman" w:hAnsi="Times New Roman" w:eastAsia="仿宋_GB2312" w:cs="Times New Roman"/>
          <w:kern w:val="21"/>
          <w:sz w:val="32"/>
          <w:szCs w:val="32"/>
        </w:rPr>
        <w:t>世界变乱交织、动荡加剧，地缘冲突易发多发，单边主义、保护主义抬</w:t>
      </w:r>
      <w:r>
        <w:rPr>
          <w:rFonts w:hint="default" w:ascii="Times New Roman" w:hAnsi="Times New Roman" w:eastAsia="仿宋_GB2312" w:cs="Times New Roman"/>
          <w:b w:val="0"/>
          <w:bCs w:val="0"/>
          <w:kern w:val="21"/>
          <w:sz w:val="32"/>
          <w:szCs w:val="32"/>
        </w:rPr>
        <w:t>头</w:t>
      </w:r>
      <w:r>
        <w:rPr>
          <w:rFonts w:hint="default" w:ascii="Times New Roman" w:hAnsi="Times New Roman" w:eastAsia="仿宋_GB2312" w:cs="Times New Roman"/>
          <w:kern w:val="21"/>
          <w:sz w:val="32"/>
          <w:szCs w:val="32"/>
        </w:rPr>
        <w:t>，霸权主义和强权政治威胁上升，国际经济贸易秩序和地区安全遇到严峻挑战。国内有效需求不足，新旧动能转换任务艰巨，就业和居民收入增长压力较大，人口结构变化给经济发展、社会治理等提出新课题，经济增长存在不确定性，资源型城市转型发展仍面临较大压力。从我区看，经济总量偏小，产业结构不优等问题依然存在，落地示范带动作用强的大项目、好项目偏少，支撑发展的后劲不足。要素保障约束趋紧，对项目准入门槛、集约节约发展水平提出更高要求。区域竞争态势日趋激烈</w:t>
      </w:r>
      <w:r>
        <w:rPr>
          <w:rFonts w:hint="default" w:ascii="Times New Roman" w:hAnsi="Times New Roman" w:cs="Times New Roman"/>
          <w:kern w:val="21"/>
          <w:sz w:val="32"/>
          <w:szCs w:val="32"/>
          <w:lang w:eastAsia="zh-CN"/>
        </w:rPr>
        <w:t>，</w:t>
      </w:r>
      <w:r>
        <w:rPr>
          <w:rFonts w:hint="default" w:ascii="Times New Roman" w:hAnsi="Times New Roman" w:eastAsia="仿宋_GB2312" w:cs="Times New Roman"/>
          <w:kern w:val="21"/>
          <w:sz w:val="32"/>
          <w:szCs w:val="32"/>
        </w:rPr>
        <w:t>招商引资、人才引进、政策创新等方面竞争加剧，面临“不进则退、慢进亦退”的发展压力，需进一步增强发展动能、优化营商环境。治理能力建设任重道远</w:t>
      </w:r>
      <w:r>
        <w:rPr>
          <w:rFonts w:hint="default" w:ascii="Times New Roman" w:hAnsi="Times New Roman" w:cs="Times New Roman"/>
          <w:kern w:val="21"/>
          <w:sz w:val="32"/>
          <w:szCs w:val="32"/>
          <w:lang w:eastAsia="zh-CN"/>
        </w:rPr>
        <w:t>，</w:t>
      </w:r>
      <w:r>
        <w:rPr>
          <w:rFonts w:hint="default" w:ascii="Times New Roman" w:hAnsi="Times New Roman" w:eastAsia="仿宋_GB2312" w:cs="Times New Roman"/>
          <w:kern w:val="21"/>
          <w:sz w:val="32"/>
          <w:szCs w:val="32"/>
        </w:rPr>
        <w:t>城乡融合发展仍需深化，农村基础设施和公共服务存在短板；人口结构变化对社会保障和人才引育提出新要求；基层治理体系和治理能力现代化水平有待提升，与市驻地高质量发展的定位仍存差距。</w:t>
      </w:r>
    </w:p>
    <w:p w14:paraId="722714FB">
      <w:pPr>
        <w:keepNext w:val="0"/>
        <w:keepLines w:val="0"/>
        <w:pageBreakBefore w:val="0"/>
        <w:widowControl w:val="0"/>
        <w:kinsoku/>
        <w:wordWrap/>
        <w:overflowPunct/>
        <w:topLinePunct w:val="0"/>
        <w:autoSpaceDE/>
        <w:autoSpaceDN/>
        <w:bidi w:val="0"/>
        <w:adjustRightInd/>
        <w:snapToGrid w:val="0"/>
        <w:spacing w:line="580" w:lineRule="exact"/>
        <w:ind w:left="0" w:leftChars="0" w:right="0"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面向未来，全</w:t>
      </w:r>
      <w:r>
        <w:rPr>
          <w:rFonts w:hint="default" w:ascii="Times New Roman" w:hAnsi="Times New Roman" w:cs="Times New Roman"/>
          <w:color w:val="auto"/>
          <w:sz w:val="32"/>
          <w:szCs w:val="32"/>
          <w:highlight w:val="none"/>
          <w:u w:val="none" w:color="auto"/>
          <w:lang w:val="en-US" w:eastAsia="zh-CN"/>
        </w:rPr>
        <w:t>区</w:t>
      </w:r>
      <w:r>
        <w:rPr>
          <w:rFonts w:hint="default" w:ascii="Times New Roman" w:hAnsi="Times New Roman" w:eastAsia="仿宋_GB2312" w:cs="Times New Roman"/>
          <w:color w:val="auto"/>
          <w:sz w:val="32"/>
          <w:szCs w:val="32"/>
          <w:highlight w:val="none"/>
          <w:u w:val="none" w:color="auto"/>
          <w:lang w:val="en-US" w:eastAsia="zh-CN"/>
        </w:rPr>
        <w:t>上下必须深刻领悟“两个确立”的决定性意义，增强“四个意识”、坚定“四个自信”、做到“两个维护”，自觉把思想和行动统一到以习近平同志为核心的党中央决策部署上来，坚持守正创新、扛牢使命担当，保持战略定力、增强必胜信心，积极识变应变求变，着力巩固拓展优势、破除瓶颈制约、补强短板弱项，以历史主动精神克难关、战风险、迎挑战，切实把</w:t>
      </w:r>
      <w:r>
        <w:rPr>
          <w:rFonts w:hint="default" w:ascii="Times New Roman" w:hAnsi="Times New Roman" w:cs="Times New Roman"/>
          <w:color w:val="auto"/>
          <w:sz w:val="32"/>
          <w:szCs w:val="32"/>
          <w:highlight w:val="none"/>
          <w:u w:val="none" w:color="auto"/>
          <w:lang w:val="en-US" w:eastAsia="zh-CN"/>
        </w:rPr>
        <w:t>薛城</w:t>
      </w:r>
      <w:r>
        <w:rPr>
          <w:rFonts w:hint="default" w:ascii="Times New Roman" w:hAnsi="Times New Roman" w:eastAsia="仿宋_GB2312" w:cs="Times New Roman"/>
          <w:color w:val="auto"/>
          <w:sz w:val="32"/>
          <w:szCs w:val="32"/>
          <w:highlight w:val="none"/>
          <w:u w:val="none" w:color="auto"/>
          <w:lang w:val="en-US" w:eastAsia="zh-CN"/>
        </w:rPr>
        <w:t>的各项优势转化为战略胜势，努力为现代化强</w:t>
      </w:r>
      <w:r>
        <w:rPr>
          <w:rFonts w:hint="default" w:ascii="Times New Roman" w:hAnsi="Times New Roman" w:cs="Times New Roman"/>
          <w:color w:val="auto"/>
          <w:sz w:val="32"/>
          <w:szCs w:val="32"/>
          <w:highlight w:val="none"/>
          <w:u w:val="none" w:color="auto"/>
          <w:lang w:val="en-US" w:eastAsia="zh-CN"/>
        </w:rPr>
        <w:t>区</w:t>
      </w:r>
      <w:r>
        <w:rPr>
          <w:rFonts w:hint="default" w:ascii="Times New Roman" w:hAnsi="Times New Roman" w:eastAsia="仿宋_GB2312" w:cs="Times New Roman"/>
          <w:color w:val="auto"/>
          <w:sz w:val="32"/>
          <w:szCs w:val="32"/>
          <w:highlight w:val="none"/>
          <w:u w:val="none" w:color="auto"/>
          <w:lang w:val="en-US" w:eastAsia="zh-CN"/>
        </w:rPr>
        <w:t>建设做出更大贡献。</w:t>
      </w:r>
    </w:p>
    <w:p w14:paraId="281BF25E">
      <w:pPr>
        <w:keepNext w:val="0"/>
        <w:keepLines w:val="0"/>
        <w:pageBreakBefore w:val="0"/>
        <w:widowControl w:val="0"/>
        <w:kinsoku/>
        <w:wordWrap/>
        <w:overflowPunct/>
        <w:topLinePunct w:val="0"/>
        <w:autoSpaceDE/>
        <w:autoSpaceDN/>
        <w:bidi w:val="0"/>
        <w:adjustRightInd w:val="0"/>
        <w:snapToGrid w:val="0"/>
        <w:spacing w:before="313" w:beforeLines="100" w:beforeAutospacing="0" w:after="313" w:afterLines="100" w:afterAutospacing="0" w:line="580" w:lineRule="exact"/>
        <w:ind w:firstLine="0" w:firstLineChars="0"/>
        <w:jc w:val="center"/>
        <w:textAlignment w:val="auto"/>
        <w:outlineLvl w:val="0"/>
        <w:rPr>
          <w:rFonts w:hint="eastAsia" w:ascii="黑体" w:hAnsi="黑体" w:eastAsia="黑体" w:cs="黑体"/>
          <w:b w:val="0"/>
          <w:bCs/>
          <w:kern w:val="21"/>
          <w:sz w:val="32"/>
          <w:szCs w:val="32"/>
          <w:lang w:val="en-US" w:eastAsia="zh-CN"/>
        </w:rPr>
      </w:pPr>
      <w:bookmarkStart w:id="6" w:name="_Toc249951286"/>
      <w:r>
        <w:rPr>
          <w:rFonts w:hint="eastAsia" w:ascii="黑体" w:hAnsi="黑体" w:eastAsia="黑体" w:cs="黑体"/>
          <w:b w:val="0"/>
          <w:bCs/>
          <w:kern w:val="21"/>
          <w:sz w:val="32"/>
          <w:szCs w:val="32"/>
          <w:lang w:val="en-US" w:eastAsia="zh-CN"/>
        </w:rPr>
        <w:t>第二章  锚定新方位，努力开创中国式现代化薛城实践</w:t>
      </w:r>
      <w:bookmarkEnd w:id="6"/>
    </w:p>
    <w:p w14:paraId="755D97CF">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7" w:name="_Toc23611"/>
      <w:bookmarkStart w:id="8" w:name="_Toc5744"/>
      <w:bookmarkStart w:id="9" w:name="_Toc9626"/>
      <w:bookmarkStart w:id="10" w:name="_Toc1958060643"/>
      <w:r>
        <w:rPr>
          <w:rFonts w:hint="eastAsia" w:ascii="楷体_GB2312" w:hAnsi="楷体_GB2312" w:eastAsia="楷体_GB2312" w:cs="楷体_GB2312"/>
          <w:kern w:val="21"/>
          <w:sz w:val="32"/>
          <w:szCs w:val="32"/>
          <w:highlight w:val="none"/>
          <w:lang w:val="en-US" w:eastAsia="zh-CN"/>
        </w:rPr>
        <w:t xml:space="preserve">第一节  </w:t>
      </w:r>
      <w:bookmarkEnd w:id="7"/>
      <w:bookmarkEnd w:id="8"/>
      <w:bookmarkEnd w:id="9"/>
      <w:r>
        <w:rPr>
          <w:rFonts w:hint="eastAsia" w:ascii="楷体_GB2312" w:hAnsi="楷体_GB2312" w:eastAsia="楷体_GB2312" w:cs="楷体_GB2312"/>
          <w:kern w:val="21"/>
          <w:sz w:val="32"/>
          <w:szCs w:val="32"/>
          <w:highlight w:val="none"/>
          <w:lang w:val="en-US" w:eastAsia="zh-CN"/>
        </w:rPr>
        <w:t>指导思想</w:t>
      </w:r>
      <w:bookmarkEnd w:id="10"/>
    </w:p>
    <w:p w14:paraId="77F6600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kern w:val="21"/>
          <w:sz w:val="32"/>
          <w:szCs w:val="32"/>
          <w:lang w:val="en-US" w:eastAsia="zh-CN"/>
        </w:rPr>
      </w:pPr>
      <w:r>
        <w:rPr>
          <w:rFonts w:hint="default" w:ascii="Times New Roman" w:hAnsi="Times New Roman" w:eastAsia="仿宋_GB2312" w:cs="Times New Roman"/>
          <w:b w:val="0"/>
          <w:bCs w:val="0"/>
          <w:kern w:val="21"/>
          <w:sz w:val="32"/>
          <w:szCs w:val="32"/>
          <w:highlight w:val="none"/>
          <w:lang w:val="en-US" w:eastAsia="zh-CN"/>
        </w:rPr>
        <w:t>以习近平新时代中国特色社会主义思想为指导，全面贯彻党的二十大和二十届历次全会精神，深入落实习近平总书记视察山东重要讲话精神和视察枣庄重要指示精神，统筹推进“五位一体”总体布局，协调推进“四个全面”战略布局，完整准确全面贯彻新发展理念，主动服务和融入新发展格局，坚持稳中求进工作总基调，坚定扛牢“走在前、挑大梁”使命担当，锚定“打造首善之区、建设品质薛城”总体定位，聚焦建设“资源型城市绿色低碳转型发展引领区”目标，全面落实“强工兴产、转型发展”战略，突出工业经济、都市经济“双轮驱动”，以推动高质量发展为主题，以改革创新为根本动力，以满足人民日益增长的美好生活需要为根本目的，更好统筹发展和安全，稳扎稳打、踏踏实实，集中力量打造高品质城市核心区、低空经济先行区、现代服务业集聚区，奋力开创新时代社会主义现代化强区建设新局面。</w:t>
      </w:r>
    </w:p>
    <w:p w14:paraId="4FECDAD7">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11" w:name="_Toc731932307"/>
      <w:r>
        <w:rPr>
          <w:rFonts w:hint="eastAsia" w:ascii="楷体_GB2312" w:hAnsi="楷体_GB2312" w:eastAsia="楷体_GB2312" w:cs="楷体_GB2312"/>
          <w:kern w:val="21"/>
          <w:sz w:val="32"/>
          <w:szCs w:val="32"/>
          <w:highlight w:val="none"/>
          <w:lang w:val="en-US" w:eastAsia="zh-CN"/>
        </w:rPr>
        <w:t>第二节  基本原则</w:t>
      </w:r>
      <w:bookmarkEnd w:id="11"/>
    </w:p>
    <w:p w14:paraId="701F13A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lang w:val="en-US" w:eastAsia="zh-CN"/>
        </w:rPr>
      </w:pPr>
      <w:r>
        <w:rPr>
          <w:rFonts w:hint="default" w:ascii="Times New Roman" w:hAnsi="Times New Roman" w:eastAsia="楷体" w:cs="Times New Roman"/>
          <w:kern w:val="21"/>
          <w:sz w:val="32"/>
          <w:szCs w:val="32"/>
          <w:lang w:val="en-US" w:eastAsia="zh-CN"/>
        </w:rPr>
        <w:t>——</w:t>
      </w:r>
      <w:r>
        <w:rPr>
          <w:rFonts w:hint="eastAsia" w:ascii="楷体_GB2312" w:hAnsi="楷体_GB2312" w:eastAsia="楷体_GB2312" w:cs="楷体_GB2312"/>
          <w:kern w:val="21"/>
          <w:sz w:val="32"/>
          <w:szCs w:val="32"/>
          <w:lang w:val="en-US" w:eastAsia="zh-CN"/>
        </w:rPr>
        <w:t>坚</w:t>
      </w:r>
      <w:r>
        <w:rPr>
          <w:rFonts w:hint="eastAsia" w:ascii="楷体_GB2312" w:hAnsi="楷体_GB2312" w:eastAsia="楷体_GB2312" w:cs="楷体_GB2312"/>
          <w:b w:val="0"/>
          <w:bCs w:val="0"/>
          <w:spacing w:val="0"/>
          <w:kern w:val="21"/>
          <w:sz w:val="32"/>
          <w:szCs w:val="32"/>
          <w:highlight w:val="none"/>
          <w:u w:val="none" w:color="auto"/>
          <w:lang w:val="en-US" w:eastAsia="zh-CN"/>
        </w:rPr>
        <w:t>持党的全面领导</w:t>
      </w:r>
      <w:r>
        <w:rPr>
          <w:rFonts w:hint="default" w:ascii="Times New Roman" w:hAnsi="Times New Roman" w:eastAsia="楷体" w:cs="Times New Roman"/>
          <w:kern w:val="21"/>
          <w:sz w:val="32"/>
          <w:szCs w:val="32"/>
          <w:lang w:val="en-US" w:eastAsia="zh-CN"/>
        </w:rPr>
        <w:t>。</w:t>
      </w:r>
      <w:r>
        <w:rPr>
          <w:rFonts w:hint="default" w:ascii="Times New Roman" w:hAnsi="Times New Roman" w:eastAsia="仿宋_GB2312" w:cs="Times New Roman"/>
          <w:kern w:val="21"/>
          <w:sz w:val="32"/>
          <w:szCs w:val="32"/>
          <w:lang w:val="en-US" w:eastAsia="zh-CN"/>
        </w:rPr>
        <w:t>坚决维护党中央权威和集中统一领导，提高党把方向、谋大局、定政策、促改革能力，把党的领导贯穿经济社会发展各方面全过程，为社会主义现代化强区建设提供根本保证。</w:t>
      </w:r>
    </w:p>
    <w:p w14:paraId="6208AEC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lang w:val="en-US" w:eastAsia="zh-CN"/>
        </w:rPr>
      </w:pPr>
      <w:r>
        <w:rPr>
          <w:rFonts w:hint="default" w:ascii="Times New Roman" w:hAnsi="Times New Roman" w:eastAsia="楷体" w:cs="Times New Roman"/>
          <w:kern w:val="21"/>
          <w:sz w:val="32"/>
          <w:szCs w:val="32"/>
          <w:lang w:val="en-US" w:eastAsia="zh-CN"/>
        </w:rPr>
        <w:t>——</w:t>
      </w:r>
      <w:r>
        <w:rPr>
          <w:rFonts w:hint="eastAsia" w:ascii="楷体_GB2312" w:hAnsi="楷体_GB2312" w:eastAsia="楷体_GB2312" w:cs="楷体_GB2312"/>
          <w:kern w:val="21"/>
          <w:sz w:val="32"/>
          <w:szCs w:val="32"/>
          <w:lang w:val="en-US" w:eastAsia="zh-CN"/>
        </w:rPr>
        <w:t>坚</w:t>
      </w:r>
      <w:r>
        <w:rPr>
          <w:rFonts w:hint="eastAsia" w:ascii="楷体_GB2312" w:hAnsi="楷体_GB2312" w:eastAsia="楷体_GB2312" w:cs="楷体_GB2312"/>
          <w:b w:val="0"/>
          <w:bCs w:val="0"/>
          <w:spacing w:val="0"/>
          <w:kern w:val="21"/>
          <w:sz w:val="32"/>
          <w:szCs w:val="32"/>
          <w:highlight w:val="none"/>
          <w:u w:val="none" w:color="auto"/>
          <w:lang w:val="en-US" w:eastAsia="zh-CN"/>
        </w:rPr>
        <w:t>持人民至</w:t>
      </w:r>
      <w:r>
        <w:rPr>
          <w:rFonts w:hint="eastAsia" w:ascii="楷体_GB2312" w:hAnsi="楷体_GB2312" w:eastAsia="楷体_GB2312" w:cs="楷体_GB2312"/>
          <w:kern w:val="21"/>
          <w:sz w:val="32"/>
          <w:szCs w:val="32"/>
          <w:lang w:val="en-US" w:eastAsia="zh-CN"/>
        </w:rPr>
        <w:t>上。</w:t>
      </w:r>
      <w:r>
        <w:rPr>
          <w:rFonts w:hint="default" w:ascii="Times New Roman" w:hAnsi="Times New Roman" w:eastAsia="仿宋_GB2312" w:cs="Times New Roman"/>
          <w:kern w:val="21"/>
          <w:sz w:val="32"/>
          <w:szCs w:val="32"/>
          <w:lang w:val="en-US" w:eastAsia="zh-CN"/>
        </w:rPr>
        <w:t>尊重人民主体地位，紧紧依靠人民，维护人民根本利益，促进社会公平正义，注重在发展中保障和改善民生，在满足民生需求中拓展发展空间，推动经济和社会协调发展、物质文明和精神文明相得益彰，让现代化强区建设成果更多更公平惠及全区人民。</w:t>
      </w:r>
    </w:p>
    <w:p w14:paraId="70A3592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lang w:val="en-US" w:eastAsia="zh-CN"/>
        </w:rPr>
      </w:pPr>
      <w:r>
        <w:rPr>
          <w:rFonts w:hint="default" w:ascii="Times New Roman" w:hAnsi="Times New Roman" w:eastAsia="楷体" w:cs="Times New Roman"/>
          <w:kern w:val="21"/>
          <w:sz w:val="32"/>
          <w:szCs w:val="32"/>
          <w:lang w:val="en-US" w:eastAsia="zh-CN"/>
        </w:rPr>
        <w:t>——</w:t>
      </w:r>
      <w:r>
        <w:rPr>
          <w:rFonts w:hint="eastAsia" w:ascii="楷体_GB2312" w:hAnsi="楷体_GB2312" w:eastAsia="楷体_GB2312" w:cs="楷体_GB2312"/>
          <w:b w:val="0"/>
          <w:bCs w:val="0"/>
          <w:spacing w:val="0"/>
          <w:kern w:val="21"/>
          <w:sz w:val="32"/>
          <w:szCs w:val="32"/>
          <w:highlight w:val="none"/>
          <w:u w:val="none" w:color="auto"/>
          <w:lang w:val="en-US" w:eastAsia="zh-CN"/>
        </w:rPr>
        <w:t>坚持高质量发展。</w:t>
      </w:r>
      <w:r>
        <w:rPr>
          <w:rFonts w:hint="default" w:ascii="Times New Roman" w:hAnsi="Times New Roman" w:eastAsia="仿宋_GB2312" w:cs="Times New Roman"/>
          <w:kern w:val="21"/>
          <w:sz w:val="32"/>
          <w:szCs w:val="32"/>
          <w:lang w:val="en-US" w:eastAsia="zh-CN"/>
        </w:rPr>
        <w:t>以新发展理念引领发展，因地制宜发展新质生产力，主动融入国内国际双循环，统筹扩大内需和深化供给侧结构性改革，加快培育新动能，促进经济结构优化升级，做优增量、盘活存量，推动经济持续健康发展和社会全面进步。</w:t>
      </w:r>
    </w:p>
    <w:p w14:paraId="0924794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lang w:val="en-US" w:eastAsia="zh-CN"/>
        </w:rPr>
      </w:pPr>
      <w:r>
        <w:rPr>
          <w:rFonts w:hint="default" w:ascii="Times New Roman" w:hAnsi="Times New Roman" w:eastAsia="楷体" w:cs="Times New Roman"/>
          <w:kern w:val="21"/>
          <w:sz w:val="32"/>
          <w:szCs w:val="32"/>
          <w:lang w:val="en-US" w:eastAsia="zh-CN"/>
        </w:rPr>
        <w:t>——</w:t>
      </w:r>
      <w:r>
        <w:rPr>
          <w:rFonts w:hint="eastAsia" w:ascii="楷体_GB2312" w:hAnsi="楷体_GB2312" w:eastAsia="楷体_GB2312" w:cs="楷体_GB2312"/>
          <w:b w:val="0"/>
          <w:bCs w:val="0"/>
          <w:spacing w:val="0"/>
          <w:kern w:val="21"/>
          <w:sz w:val="32"/>
          <w:szCs w:val="32"/>
          <w:highlight w:val="none"/>
          <w:u w:val="none" w:color="auto"/>
          <w:lang w:val="en-US" w:eastAsia="zh-CN"/>
        </w:rPr>
        <w:t>坚持全面深化改革。</w:t>
      </w:r>
      <w:r>
        <w:rPr>
          <w:rFonts w:hint="default" w:ascii="Times New Roman" w:hAnsi="Times New Roman" w:eastAsia="仿宋_GB2312" w:cs="Times New Roman"/>
          <w:kern w:val="21"/>
          <w:sz w:val="32"/>
          <w:szCs w:val="32"/>
          <w:lang w:val="en-US" w:eastAsia="zh-CN"/>
        </w:rPr>
        <w:t>坚定不移以深化改革激发新发展活力，以高水平对外开放打造对外合作和竞争新优势，加快服务融入全国统一大市场，着力破除影响高质量发展、高品质生活的体制机制障碍，加强治理体系和治理能力现代化建设，持续增强高质量发展动力活力。</w:t>
      </w:r>
    </w:p>
    <w:p w14:paraId="534BD7C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lang w:val="en-US" w:eastAsia="zh-CN"/>
        </w:rPr>
      </w:pPr>
      <w:r>
        <w:rPr>
          <w:rFonts w:hint="default" w:ascii="Times New Roman" w:hAnsi="Times New Roman" w:eastAsia="楷体" w:cs="Times New Roman"/>
          <w:kern w:val="21"/>
          <w:sz w:val="32"/>
          <w:szCs w:val="32"/>
          <w:lang w:val="en-US" w:eastAsia="zh-CN"/>
        </w:rPr>
        <w:t>——</w:t>
      </w:r>
      <w:r>
        <w:rPr>
          <w:rFonts w:hint="eastAsia" w:ascii="楷体_GB2312" w:hAnsi="楷体_GB2312" w:eastAsia="楷体_GB2312" w:cs="楷体_GB2312"/>
          <w:b w:val="0"/>
          <w:bCs w:val="0"/>
          <w:spacing w:val="0"/>
          <w:kern w:val="21"/>
          <w:sz w:val="32"/>
          <w:szCs w:val="32"/>
          <w:highlight w:val="none"/>
          <w:u w:val="none" w:color="auto"/>
          <w:lang w:val="en-US" w:eastAsia="zh-CN"/>
        </w:rPr>
        <w:t>坚持有效市场和有为政府相结合。</w:t>
      </w:r>
      <w:r>
        <w:rPr>
          <w:rFonts w:hint="default" w:ascii="Times New Roman" w:hAnsi="Times New Roman" w:eastAsia="仿宋_GB2312" w:cs="Times New Roman"/>
          <w:kern w:val="21"/>
          <w:sz w:val="32"/>
          <w:szCs w:val="32"/>
          <w:lang w:val="en-US" w:eastAsia="zh-CN"/>
        </w:rPr>
        <w:t>充分发挥市场在资源配置中的决定性作用，更好发挥政府作用，构建统一、开放、竞争、有序的市场体系，建设法治经济、信用经济，打造一流营商环境。</w:t>
      </w:r>
    </w:p>
    <w:p w14:paraId="5F19E7E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lang w:val="en-US" w:eastAsia="zh-CN"/>
        </w:rPr>
      </w:pPr>
      <w:r>
        <w:rPr>
          <w:rFonts w:hint="default" w:ascii="Times New Roman" w:hAnsi="Times New Roman" w:eastAsia="楷体" w:cs="Times New Roman"/>
          <w:kern w:val="21"/>
          <w:sz w:val="32"/>
          <w:szCs w:val="32"/>
          <w:lang w:val="en-US" w:eastAsia="zh-CN"/>
        </w:rPr>
        <w:t>——</w:t>
      </w:r>
      <w:r>
        <w:rPr>
          <w:rFonts w:hint="eastAsia" w:ascii="楷体_GB2312" w:hAnsi="楷体_GB2312" w:eastAsia="楷体_GB2312" w:cs="楷体_GB2312"/>
          <w:b w:val="0"/>
          <w:bCs w:val="0"/>
          <w:spacing w:val="0"/>
          <w:kern w:val="21"/>
          <w:sz w:val="32"/>
          <w:szCs w:val="32"/>
          <w:highlight w:val="none"/>
          <w:u w:val="none" w:color="auto"/>
          <w:lang w:val="en-US" w:eastAsia="zh-CN"/>
        </w:rPr>
        <w:t>坚持统筹发展和安全</w:t>
      </w:r>
      <w:r>
        <w:rPr>
          <w:rFonts w:hint="default" w:ascii="楷体_GB2312" w:hAnsi="楷体_GB2312" w:eastAsia="楷体_GB2312" w:cs="楷体_GB2312"/>
          <w:b w:val="0"/>
          <w:bCs w:val="0"/>
          <w:spacing w:val="0"/>
          <w:kern w:val="21"/>
          <w:sz w:val="32"/>
          <w:szCs w:val="32"/>
          <w:highlight w:val="none"/>
          <w:u w:val="none" w:color="auto"/>
          <w:lang w:val="en-US" w:eastAsia="zh-CN"/>
        </w:rPr>
        <w:t>。</w:t>
      </w:r>
      <w:r>
        <w:rPr>
          <w:rFonts w:hint="default" w:ascii="Times New Roman" w:hAnsi="Times New Roman" w:eastAsia="仿宋_GB2312" w:cs="Times New Roman"/>
          <w:kern w:val="21"/>
          <w:sz w:val="32"/>
          <w:szCs w:val="32"/>
          <w:lang w:val="en-US" w:eastAsia="zh-CN"/>
        </w:rPr>
        <w:t>在发展中固安全，在安全中谋发展，强化底线思维，有效防范化解各类风险，增强经济和社会韧性，以新安全格局保障新发展格局。</w:t>
      </w:r>
    </w:p>
    <w:p w14:paraId="078C3043">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12" w:name="_Toc1497625638"/>
      <w:r>
        <w:rPr>
          <w:rFonts w:hint="eastAsia" w:ascii="楷体_GB2312" w:hAnsi="楷体_GB2312" w:eastAsia="楷体_GB2312" w:cs="楷体_GB2312"/>
          <w:kern w:val="21"/>
          <w:sz w:val="32"/>
          <w:szCs w:val="32"/>
          <w:highlight w:val="none"/>
          <w:lang w:val="en-US" w:eastAsia="zh-CN"/>
        </w:rPr>
        <w:t>第三节  战略定位</w:t>
      </w:r>
      <w:bookmarkEnd w:id="12"/>
    </w:p>
    <w:p w14:paraId="0DB8086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b w:val="0"/>
          <w:bCs w:val="0"/>
          <w:kern w:val="21"/>
          <w:sz w:val="32"/>
          <w:szCs w:val="32"/>
          <w:highlight w:val="none"/>
          <w:lang w:val="en-US" w:eastAsia="zh-CN"/>
        </w:rPr>
      </w:pPr>
      <w:r>
        <w:rPr>
          <w:rFonts w:hint="default" w:ascii="Times New Roman" w:hAnsi="Times New Roman" w:eastAsia="楷体" w:cs="Times New Roman"/>
          <w:kern w:val="21"/>
          <w:sz w:val="32"/>
          <w:szCs w:val="32"/>
          <w:lang w:val="en-US" w:eastAsia="zh-CN"/>
        </w:rPr>
        <w:t>——</w:t>
      </w:r>
      <w:r>
        <w:rPr>
          <w:rFonts w:hint="eastAsia" w:ascii="楷体_GB2312" w:hAnsi="楷体_GB2312" w:eastAsia="楷体_GB2312" w:cs="楷体_GB2312"/>
          <w:b w:val="0"/>
          <w:bCs w:val="0"/>
          <w:spacing w:val="0"/>
          <w:kern w:val="21"/>
          <w:sz w:val="32"/>
          <w:szCs w:val="32"/>
          <w:highlight w:val="none"/>
          <w:u w:val="none" w:color="auto"/>
          <w:lang w:val="en-US" w:eastAsia="zh-CN"/>
        </w:rPr>
        <w:t>资源型城市绿色低碳转型发展引领区。</w:t>
      </w:r>
      <w:r>
        <w:rPr>
          <w:rFonts w:hint="default" w:ascii="Times New Roman" w:hAnsi="Times New Roman" w:eastAsia="仿宋_GB2312" w:cs="Times New Roman"/>
          <w:b w:val="0"/>
          <w:bCs w:val="0"/>
          <w:kern w:val="21"/>
          <w:sz w:val="32"/>
          <w:szCs w:val="32"/>
          <w:highlight w:val="none"/>
          <w:lang w:val="en-US" w:eastAsia="zh-CN"/>
        </w:rPr>
        <w:t>锚定绿色低碳转型主线，以新旧动能转换为核心，改造提升传统产业，培育壮大新质生产力，推动产业结构向智能化、绿色化</w:t>
      </w:r>
      <w:r>
        <w:rPr>
          <w:rFonts w:hint="default" w:ascii="Times New Roman" w:hAnsi="Times New Roman" w:cs="Times New Roman"/>
          <w:b w:val="0"/>
          <w:bCs w:val="0"/>
          <w:kern w:val="21"/>
          <w:sz w:val="32"/>
          <w:szCs w:val="32"/>
          <w:highlight w:val="none"/>
          <w:lang w:val="en-US" w:eastAsia="zh-CN"/>
        </w:rPr>
        <w:t>、融合化</w:t>
      </w:r>
      <w:r>
        <w:rPr>
          <w:rFonts w:hint="default" w:ascii="Times New Roman" w:hAnsi="Times New Roman" w:eastAsia="仿宋_GB2312" w:cs="Times New Roman"/>
          <w:b w:val="0"/>
          <w:bCs w:val="0"/>
          <w:kern w:val="21"/>
          <w:sz w:val="32"/>
          <w:szCs w:val="32"/>
          <w:highlight w:val="none"/>
          <w:lang w:val="en-US" w:eastAsia="zh-CN"/>
        </w:rPr>
        <w:t>跃升。构建先进制造业支撑、现代服务业主导的现代化产业体系，在资源型城市转型、产业迭代升级、绿色低碳发展等方面探索可复制经验</w:t>
      </w:r>
      <w:r>
        <w:rPr>
          <w:rFonts w:hint="default" w:ascii="Times New Roman" w:hAnsi="Times New Roman" w:cs="Times New Roman"/>
          <w:b w:val="0"/>
          <w:bCs w:val="0"/>
          <w:kern w:val="21"/>
          <w:sz w:val="32"/>
          <w:szCs w:val="32"/>
          <w:highlight w:val="none"/>
          <w:lang w:val="en-US" w:eastAsia="zh-CN"/>
        </w:rPr>
        <w:t>，积极打造资源型城市绿色低碳转型发展引领区</w:t>
      </w:r>
      <w:r>
        <w:rPr>
          <w:rFonts w:hint="default" w:ascii="Times New Roman" w:hAnsi="Times New Roman" w:eastAsia="仿宋_GB2312" w:cs="Times New Roman"/>
          <w:b w:val="0"/>
          <w:bCs w:val="0"/>
          <w:kern w:val="21"/>
          <w:sz w:val="32"/>
          <w:szCs w:val="32"/>
          <w:highlight w:val="none"/>
          <w:lang w:val="en-US" w:eastAsia="zh-CN"/>
        </w:rPr>
        <w:t>。</w:t>
      </w:r>
    </w:p>
    <w:p w14:paraId="5E47AA7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b w:val="0"/>
          <w:bCs w:val="0"/>
          <w:kern w:val="21"/>
          <w:sz w:val="32"/>
          <w:szCs w:val="32"/>
          <w:lang w:val="en-US" w:eastAsia="zh-CN"/>
        </w:rPr>
      </w:pPr>
      <w:r>
        <w:rPr>
          <w:rFonts w:hint="default" w:ascii="Times New Roman" w:hAnsi="Times New Roman" w:eastAsia="楷体" w:cs="Times New Roman"/>
          <w:kern w:val="21"/>
          <w:sz w:val="32"/>
          <w:szCs w:val="32"/>
          <w:lang w:val="en-US" w:eastAsia="zh-CN"/>
        </w:rPr>
        <w:t>——</w:t>
      </w:r>
      <w:r>
        <w:rPr>
          <w:rFonts w:hint="eastAsia" w:ascii="楷体_GB2312" w:hAnsi="楷体_GB2312" w:eastAsia="楷体_GB2312" w:cs="楷体_GB2312"/>
          <w:b w:val="0"/>
          <w:bCs w:val="0"/>
          <w:spacing w:val="0"/>
          <w:kern w:val="21"/>
          <w:sz w:val="32"/>
          <w:szCs w:val="32"/>
          <w:highlight w:val="none"/>
          <w:u w:val="none" w:color="auto"/>
          <w:lang w:val="en-US" w:eastAsia="zh-CN"/>
        </w:rPr>
        <w:t>高品质城市核心区</w:t>
      </w:r>
      <w:r>
        <w:rPr>
          <w:rFonts w:hint="default" w:ascii="楷体_GB2312" w:hAnsi="楷体_GB2312" w:eastAsia="楷体_GB2312" w:cs="楷体_GB2312"/>
          <w:b w:val="0"/>
          <w:bCs w:val="0"/>
          <w:spacing w:val="0"/>
          <w:kern w:val="21"/>
          <w:sz w:val="32"/>
          <w:szCs w:val="32"/>
          <w:highlight w:val="none"/>
          <w:u w:val="none" w:color="auto"/>
          <w:lang w:val="en-US" w:eastAsia="zh-CN"/>
        </w:rPr>
        <w:t>。</w:t>
      </w:r>
      <w:r>
        <w:rPr>
          <w:rFonts w:hint="default" w:ascii="Times New Roman" w:hAnsi="Times New Roman" w:cs="Times New Roman"/>
          <w:b w:val="0"/>
          <w:bCs w:val="0"/>
          <w:kern w:val="21"/>
          <w:sz w:val="32"/>
          <w:szCs w:val="32"/>
          <w:highlight w:val="none"/>
          <w:lang w:val="en-US" w:eastAsia="zh-CN"/>
        </w:rPr>
        <w:t>按照</w:t>
      </w:r>
      <w:r>
        <w:rPr>
          <w:rFonts w:hint="default" w:ascii="Times New Roman" w:hAnsi="Times New Roman" w:eastAsia="仿宋_GB2312" w:cs="Times New Roman"/>
          <w:bCs/>
          <w:sz w:val="32"/>
          <w:szCs w:val="32"/>
          <w:u w:val="none" w:color="auto"/>
          <w:lang w:val="en-US" w:eastAsia="zh-CN"/>
        </w:rPr>
        <w:t>“东拓、西连、南美、北控、中优”</w:t>
      </w:r>
      <w:r>
        <w:rPr>
          <w:rFonts w:hint="default" w:ascii="Times New Roman" w:hAnsi="Times New Roman" w:cs="Times New Roman"/>
          <w:bCs/>
          <w:sz w:val="32"/>
          <w:szCs w:val="32"/>
          <w:u w:val="none" w:color="auto"/>
          <w:lang w:val="en-US" w:eastAsia="zh-CN"/>
        </w:rPr>
        <w:t>发展格局，坚决扛牢市驻地建设重任，以内涵式发展为</w:t>
      </w:r>
      <w:r>
        <w:rPr>
          <w:rFonts w:hint="default" w:ascii="Times New Roman" w:hAnsi="Times New Roman" w:cs="Times New Roman"/>
          <w:bCs/>
          <w:spacing w:val="-6"/>
          <w:sz w:val="32"/>
          <w:szCs w:val="32"/>
          <w:u w:val="none" w:color="auto"/>
          <w:lang w:val="en-US" w:eastAsia="zh-CN"/>
        </w:rPr>
        <w:t>主线，大力推动城市更新，完善教育、医疗、康养等配套，丰富商业、娱乐等功能，加速人气、商气聚集，着力提升城市</w:t>
      </w:r>
      <w:r>
        <w:rPr>
          <w:rFonts w:hint="default" w:ascii="Times New Roman" w:hAnsi="Times New Roman" w:eastAsia="仿宋_GB2312" w:cs="Times New Roman"/>
          <w:b w:val="0"/>
          <w:bCs w:val="0"/>
          <w:spacing w:val="-6"/>
          <w:kern w:val="21"/>
          <w:sz w:val="32"/>
          <w:szCs w:val="32"/>
          <w:highlight w:val="none"/>
          <w:lang w:val="en-US" w:eastAsia="zh-CN"/>
        </w:rPr>
        <w:t>首位度。</w:t>
      </w:r>
    </w:p>
    <w:p w14:paraId="58F45B94">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kern w:val="21"/>
          <w:sz w:val="32"/>
          <w:szCs w:val="32"/>
          <w:highlight w:val="none"/>
          <w:lang w:val="en-US" w:eastAsia="zh-CN"/>
        </w:rPr>
      </w:pPr>
      <w:r>
        <w:rPr>
          <w:rFonts w:hint="default" w:ascii="Times New Roman" w:hAnsi="Times New Roman" w:eastAsia="楷体" w:cs="Times New Roman"/>
          <w:kern w:val="21"/>
          <w:sz w:val="32"/>
          <w:szCs w:val="32"/>
          <w:lang w:val="en-US" w:eastAsia="zh-CN"/>
        </w:rPr>
        <w:t>——</w:t>
      </w:r>
      <w:r>
        <w:rPr>
          <w:rFonts w:hint="eastAsia" w:ascii="楷体_GB2312" w:hAnsi="楷体_GB2312" w:eastAsia="楷体_GB2312" w:cs="楷体_GB2312"/>
          <w:b w:val="0"/>
          <w:bCs w:val="0"/>
          <w:spacing w:val="0"/>
          <w:kern w:val="21"/>
          <w:sz w:val="32"/>
          <w:szCs w:val="32"/>
          <w:highlight w:val="none"/>
          <w:u w:val="none" w:color="auto"/>
          <w:lang w:val="en-US" w:eastAsia="zh-CN"/>
        </w:rPr>
        <w:t>低空经济先行区。</w:t>
      </w:r>
      <w:r>
        <w:rPr>
          <w:rFonts w:hint="default" w:ascii="Times New Roman" w:hAnsi="Times New Roman" w:eastAsia="仿宋_GB2312" w:cs="Times New Roman"/>
          <w:kern w:val="21"/>
          <w:sz w:val="32"/>
          <w:szCs w:val="32"/>
          <w:highlight w:val="none"/>
        </w:rPr>
        <w:t>依托枣庄低空经济动力谷核心载体，夯实硬件支撑，强化数字赋能，</w:t>
      </w:r>
      <w:r>
        <w:rPr>
          <w:rFonts w:hint="default" w:ascii="Times New Roman" w:hAnsi="Times New Roman" w:cs="Times New Roman"/>
          <w:kern w:val="21"/>
          <w:sz w:val="32"/>
          <w:szCs w:val="32"/>
          <w:highlight w:val="none"/>
          <w:lang w:val="en-US" w:eastAsia="zh-CN"/>
        </w:rPr>
        <w:t>集聚发展低空制造业</w:t>
      </w:r>
      <w:r>
        <w:rPr>
          <w:rFonts w:hint="default" w:ascii="Times New Roman" w:hAnsi="Times New Roman" w:eastAsia="仿宋_GB2312" w:cs="Times New Roman"/>
          <w:kern w:val="21"/>
          <w:sz w:val="32"/>
          <w:szCs w:val="32"/>
          <w:highlight w:val="none"/>
        </w:rPr>
        <w:t>，开发农林植保、智慧物流、应急救援、低空文旅等应用场景，形成“核心部件+整机制造+场景服务”完整产业生态</w:t>
      </w:r>
      <w:r>
        <w:rPr>
          <w:rFonts w:hint="default" w:ascii="Times New Roman" w:hAnsi="Times New Roman" w:eastAsia="仿宋_GB2312" w:cs="Times New Roman"/>
          <w:kern w:val="21"/>
          <w:sz w:val="32"/>
          <w:szCs w:val="32"/>
          <w:highlight w:val="none"/>
          <w:lang w:eastAsia="zh-CN"/>
        </w:rPr>
        <w:t>，</w:t>
      </w:r>
      <w:r>
        <w:rPr>
          <w:rFonts w:hint="default" w:ascii="Times New Roman" w:hAnsi="Times New Roman" w:eastAsia="仿宋_GB2312" w:cs="Times New Roman"/>
          <w:kern w:val="21"/>
          <w:sz w:val="32"/>
          <w:szCs w:val="32"/>
          <w:highlight w:val="none"/>
        </w:rPr>
        <w:t>着力构建集低空生产制造、创新研发、教育培训、科普体验、试飞检测、成果转化六大基地和飞行智慧指挥中心于一体的产业示范区。</w:t>
      </w:r>
    </w:p>
    <w:p w14:paraId="57FF0A4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b w:val="0"/>
          <w:bCs w:val="0"/>
          <w:kern w:val="21"/>
          <w:sz w:val="32"/>
          <w:szCs w:val="32"/>
          <w:highlight w:val="none"/>
          <w:lang w:val="en-US" w:eastAsia="zh-CN"/>
        </w:rPr>
      </w:pPr>
      <w:r>
        <w:rPr>
          <w:rFonts w:hint="default" w:ascii="Times New Roman" w:hAnsi="Times New Roman" w:eastAsia="楷体" w:cs="Times New Roman"/>
          <w:kern w:val="21"/>
          <w:sz w:val="32"/>
          <w:szCs w:val="32"/>
          <w:lang w:val="en-US" w:eastAsia="zh-CN"/>
        </w:rPr>
        <w:t>——</w:t>
      </w:r>
      <w:r>
        <w:rPr>
          <w:rFonts w:hint="eastAsia" w:ascii="楷体_GB2312" w:hAnsi="楷体_GB2312" w:eastAsia="楷体_GB2312" w:cs="楷体_GB2312"/>
          <w:b w:val="0"/>
          <w:bCs w:val="0"/>
          <w:spacing w:val="0"/>
          <w:kern w:val="21"/>
          <w:sz w:val="32"/>
          <w:szCs w:val="32"/>
          <w:highlight w:val="none"/>
          <w:u w:val="none" w:color="auto"/>
          <w:lang w:val="en-US" w:eastAsia="zh-CN"/>
        </w:rPr>
        <w:t>现代服务业集聚区。</w:t>
      </w:r>
      <w:r>
        <w:rPr>
          <w:rFonts w:hint="default" w:ascii="Times New Roman" w:hAnsi="Times New Roman" w:eastAsia="仿宋_GB2312" w:cs="Times New Roman"/>
          <w:b w:val="0"/>
          <w:bCs w:val="0"/>
          <w:kern w:val="21"/>
          <w:sz w:val="32"/>
          <w:szCs w:val="32"/>
          <w:highlight w:val="none"/>
          <w:lang w:val="en-US" w:eastAsia="zh-CN"/>
        </w:rPr>
        <w:t>推进生产性服务业向专业化和价值链高端延伸</w:t>
      </w:r>
      <w:r>
        <w:rPr>
          <w:rFonts w:hint="default" w:ascii="Times New Roman" w:hAnsi="Times New Roman" w:cs="Times New Roman"/>
          <w:b w:val="0"/>
          <w:bCs w:val="0"/>
          <w:kern w:val="21"/>
          <w:sz w:val="32"/>
          <w:szCs w:val="32"/>
          <w:highlight w:val="none"/>
          <w:lang w:val="en-US" w:eastAsia="zh-CN"/>
        </w:rPr>
        <w:t>，</w:t>
      </w:r>
      <w:r>
        <w:rPr>
          <w:rFonts w:hint="default" w:ascii="Times New Roman" w:hAnsi="Times New Roman" w:eastAsia="仿宋_GB2312" w:cs="Times New Roman"/>
          <w:b w:val="0"/>
          <w:bCs w:val="0"/>
          <w:kern w:val="21"/>
          <w:sz w:val="32"/>
          <w:szCs w:val="32"/>
          <w:highlight w:val="none"/>
          <w:lang w:val="en-US" w:eastAsia="zh-CN"/>
        </w:rPr>
        <w:t>推动生活性服务业高品质、多样化、便利化发展，高端商贸、金融商务</w:t>
      </w:r>
      <w:r>
        <w:rPr>
          <w:rFonts w:hint="default" w:ascii="Times New Roman" w:hAnsi="Times New Roman" w:cs="Times New Roman"/>
          <w:b w:val="0"/>
          <w:bCs w:val="0"/>
          <w:kern w:val="21"/>
          <w:sz w:val="32"/>
          <w:szCs w:val="32"/>
          <w:highlight w:val="none"/>
          <w:lang w:val="en-US" w:eastAsia="zh-CN"/>
        </w:rPr>
        <w:t>、现代物流、银发经济、演艺经济</w:t>
      </w:r>
      <w:r>
        <w:rPr>
          <w:rFonts w:hint="default" w:ascii="Times New Roman" w:hAnsi="Times New Roman" w:eastAsia="仿宋_GB2312" w:cs="Times New Roman"/>
          <w:b w:val="0"/>
          <w:bCs w:val="0"/>
          <w:kern w:val="21"/>
          <w:sz w:val="32"/>
          <w:szCs w:val="32"/>
          <w:highlight w:val="none"/>
          <w:lang w:val="en-US" w:eastAsia="zh-CN"/>
        </w:rPr>
        <w:t>集聚发展，实现总部经济、楼宇经济、数字经济集约化、规模化发展，培育服务业新业态、新模式，建设现代服务业</w:t>
      </w:r>
      <w:r>
        <w:rPr>
          <w:rFonts w:hint="default" w:ascii="Times New Roman" w:hAnsi="Times New Roman" w:cs="Times New Roman"/>
          <w:b w:val="0"/>
          <w:bCs w:val="0"/>
          <w:kern w:val="21"/>
          <w:sz w:val="32"/>
          <w:szCs w:val="32"/>
          <w:highlight w:val="none"/>
          <w:lang w:val="en-US" w:eastAsia="zh-CN"/>
        </w:rPr>
        <w:t>集聚区</w:t>
      </w:r>
      <w:r>
        <w:rPr>
          <w:rFonts w:hint="default" w:ascii="Times New Roman" w:hAnsi="Times New Roman" w:eastAsia="仿宋_GB2312" w:cs="Times New Roman"/>
          <w:b w:val="0"/>
          <w:bCs w:val="0"/>
          <w:kern w:val="21"/>
          <w:sz w:val="32"/>
          <w:szCs w:val="32"/>
          <w:highlight w:val="none"/>
          <w:lang w:val="en-US" w:eastAsia="zh-CN"/>
        </w:rPr>
        <w:t>。</w:t>
      </w:r>
    </w:p>
    <w:p w14:paraId="09A04BE9">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13" w:name="_Toc25287"/>
      <w:bookmarkStart w:id="14" w:name="_Toc28548"/>
      <w:bookmarkStart w:id="15" w:name="_Toc22550"/>
      <w:bookmarkStart w:id="16" w:name="_Toc12472"/>
      <w:bookmarkStart w:id="17" w:name="_Toc2115881511"/>
      <w:bookmarkStart w:id="18" w:name="_Toc3436"/>
      <w:r>
        <w:rPr>
          <w:rFonts w:hint="eastAsia" w:ascii="楷体_GB2312" w:hAnsi="楷体_GB2312" w:eastAsia="楷体_GB2312" w:cs="楷体_GB2312"/>
          <w:kern w:val="21"/>
          <w:sz w:val="32"/>
          <w:szCs w:val="32"/>
          <w:highlight w:val="none"/>
          <w:lang w:val="en-US" w:eastAsia="zh-CN"/>
        </w:rPr>
        <w:t>第四节  发展目标</w:t>
      </w:r>
      <w:bookmarkEnd w:id="13"/>
      <w:bookmarkEnd w:id="14"/>
      <w:bookmarkEnd w:id="15"/>
      <w:bookmarkEnd w:id="16"/>
      <w:bookmarkEnd w:id="17"/>
      <w:bookmarkEnd w:id="18"/>
    </w:p>
    <w:p w14:paraId="6A81B4D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b w:val="0"/>
          <w:bCs w:val="0"/>
          <w:kern w:val="21"/>
          <w:sz w:val="32"/>
          <w:szCs w:val="32"/>
          <w:lang w:val="en-US" w:eastAsia="zh-CN"/>
        </w:rPr>
      </w:pPr>
      <w:r>
        <w:rPr>
          <w:rFonts w:hint="default" w:ascii="Times New Roman" w:hAnsi="Times New Roman" w:eastAsia="楷体" w:cs="Times New Roman"/>
          <w:b w:val="0"/>
          <w:bCs w:val="0"/>
          <w:kern w:val="21"/>
          <w:sz w:val="32"/>
          <w:szCs w:val="32"/>
          <w:lang w:val="en-US" w:eastAsia="zh-CN"/>
        </w:rPr>
        <w:t>——</w:t>
      </w:r>
      <w:r>
        <w:rPr>
          <w:rFonts w:hint="eastAsia" w:ascii="楷体_GB2312" w:hAnsi="楷体_GB2312" w:eastAsia="楷体_GB2312" w:cs="楷体_GB2312"/>
          <w:b w:val="0"/>
          <w:bCs w:val="0"/>
          <w:kern w:val="21"/>
          <w:sz w:val="32"/>
          <w:szCs w:val="32"/>
          <w:lang w:val="en-US" w:eastAsia="zh-CN"/>
        </w:rPr>
        <w:t>综合实力跨越发展。</w:t>
      </w:r>
      <w:r>
        <w:rPr>
          <w:rFonts w:hint="default" w:ascii="Times New Roman" w:hAnsi="Times New Roman" w:eastAsia="仿宋_GB2312" w:cs="Times New Roman"/>
          <w:b w:val="0"/>
          <w:bCs w:val="0"/>
          <w:kern w:val="21"/>
          <w:sz w:val="32"/>
          <w:szCs w:val="32"/>
          <w:lang w:val="en-US" w:eastAsia="zh-CN"/>
        </w:rPr>
        <w:t>经济运行稳健向好，发展质效持续提升，</w:t>
      </w:r>
      <w:r>
        <w:rPr>
          <w:rFonts w:hint="default" w:ascii="Times New Roman" w:hAnsi="Times New Roman" w:cs="Times New Roman"/>
          <w:b w:val="0"/>
          <w:bCs w:val="0"/>
          <w:kern w:val="21"/>
          <w:sz w:val="32"/>
          <w:szCs w:val="32"/>
          <w:lang w:val="en-US" w:eastAsia="zh-CN"/>
        </w:rPr>
        <w:t>地区生产总值</w:t>
      </w:r>
      <w:r>
        <w:rPr>
          <w:rFonts w:hint="default" w:ascii="Times New Roman" w:hAnsi="Times New Roman" w:eastAsia="仿宋_GB2312" w:cs="Times New Roman"/>
          <w:b w:val="0"/>
          <w:bCs w:val="0"/>
          <w:kern w:val="21"/>
          <w:sz w:val="32"/>
          <w:szCs w:val="32"/>
          <w:lang w:val="en-US" w:eastAsia="zh-CN"/>
        </w:rPr>
        <w:t>增速高于全市平均水平，实现“增速进位、总量前移”。内需拉动经济增长的主动力作用充分发挥，服务融入全国统一大市场纵深推进，新质生产力加快培育，常住人口城镇化质量稳步提升，发展的平衡性、协调性、可持续性显著增强。</w:t>
      </w:r>
    </w:p>
    <w:p w14:paraId="4BE5DE0A">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outlineLvl w:val="9"/>
        <w:rPr>
          <w:rFonts w:hint="default" w:ascii="Times New Roman" w:hAnsi="Times New Roman" w:cs="Times New Roman"/>
          <w:lang w:val="en-US" w:eastAsia="zh-CN"/>
        </w:rPr>
      </w:pPr>
      <w:r>
        <w:rPr>
          <w:rFonts w:hint="default" w:ascii="Times New Roman" w:hAnsi="Times New Roman" w:eastAsia="楷体" w:cs="Times New Roman"/>
          <w:b w:val="0"/>
          <w:bCs w:val="0"/>
          <w:kern w:val="21"/>
          <w:sz w:val="32"/>
          <w:szCs w:val="32"/>
          <w:lang w:val="en-US" w:eastAsia="zh-CN"/>
        </w:rPr>
        <w:t>——</w:t>
      </w:r>
      <w:r>
        <w:rPr>
          <w:rFonts w:hint="eastAsia" w:ascii="楷体_GB2312" w:hAnsi="楷体_GB2312" w:eastAsia="楷体_GB2312" w:cs="楷体_GB2312"/>
          <w:b w:val="0"/>
          <w:bCs w:val="0"/>
          <w:kern w:val="21"/>
          <w:sz w:val="32"/>
          <w:szCs w:val="32"/>
          <w:lang w:val="en-US" w:eastAsia="zh-CN"/>
        </w:rPr>
        <w:t>产业能级全面跃升。</w:t>
      </w:r>
      <w:r>
        <w:rPr>
          <w:rFonts w:hint="default" w:ascii="Times New Roman" w:hAnsi="Times New Roman" w:cs="Times New Roman"/>
          <w:b w:val="0"/>
          <w:bCs w:val="0"/>
          <w:kern w:val="21"/>
          <w:sz w:val="32"/>
          <w:szCs w:val="32"/>
          <w:highlight w:val="none"/>
          <w:lang w:val="en-US" w:eastAsia="zh-CN"/>
        </w:rPr>
        <w:t>推</w:t>
      </w:r>
      <w:r>
        <w:rPr>
          <w:rFonts w:hint="eastAsia" w:ascii="Times New Roman" w:hAnsi="Times New Roman" w:cs="Times New Roman"/>
          <w:b w:val="0"/>
          <w:bCs w:val="0"/>
          <w:kern w:val="21"/>
          <w:sz w:val="32"/>
          <w:szCs w:val="32"/>
          <w:highlight w:val="none"/>
          <w:lang w:val="en-US" w:eastAsia="zh-CN"/>
        </w:rPr>
        <w:t>动</w:t>
      </w:r>
      <w:r>
        <w:rPr>
          <w:rFonts w:hint="eastAsia" w:ascii="Times New Roman" w:hAnsi="Times New Roman" w:cs="Times New Roman"/>
          <w:kern w:val="2"/>
          <w:sz w:val="32"/>
          <w:szCs w:val="40"/>
          <w:highlight w:val="none"/>
          <w:lang w:val="en-US" w:eastAsia="zh-CN" w:bidi="ar-SA"/>
        </w:rPr>
        <w:t>化工新材料</w:t>
      </w:r>
      <w:r>
        <w:rPr>
          <w:rFonts w:hint="default" w:ascii="Times New Roman" w:hAnsi="Times New Roman" w:eastAsia="仿宋_GB2312" w:cs="Times New Roman"/>
          <w:kern w:val="2"/>
          <w:sz w:val="32"/>
          <w:szCs w:val="40"/>
          <w:highlight w:val="none"/>
          <w:lang w:val="en-US" w:eastAsia="zh-CN" w:bidi="ar-SA"/>
        </w:rPr>
        <w:t>、高端装备、现代轻工</w:t>
      </w:r>
      <w:r>
        <w:rPr>
          <w:rFonts w:hint="default" w:ascii="Times New Roman" w:hAnsi="Times New Roman" w:cs="Times New Roman"/>
          <w:kern w:val="2"/>
          <w:sz w:val="32"/>
          <w:szCs w:val="40"/>
          <w:highlight w:val="none"/>
          <w:lang w:val="en-US" w:eastAsia="zh-CN" w:bidi="ar-SA"/>
        </w:rPr>
        <w:t>、新能源</w:t>
      </w:r>
      <w:r>
        <w:rPr>
          <w:rFonts w:hint="default" w:ascii="Times New Roman" w:hAnsi="Times New Roman" w:cs="Times New Roman"/>
          <w:b w:val="0"/>
          <w:bCs w:val="0"/>
          <w:kern w:val="21"/>
          <w:sz w:val="32"/>
          <w:szCs w:val="32"/>
          <w:highlight w:val="none"/>
          <w:lang w:val="en-US" w:eastAsia="zh-CN"/>
        </w:rPr>
        <w:t>4</w:t>
      </w:r>
      <w:r>
        <w:rPr>
          <w:rFonts w:hint="default" w:ascii="Times New Roman" w:hAnsi="Times New Roman" w:eastAsia="仿宋_GB2312" w:cs="Times New Roman"/>
          <w:b w:val="0"/>
          <w:bCs w:val="0"/>
          <w:kern w:val="21"/>
          <w:sz w:val="32"/>
          <w:szCs w:val="32"/>
          <w:highlight w:val="none"/>
          <w:lang w:val="en-US" w:eastAsia="zh-CN"/>
        </w:rPr>
        <w:t>大</w:t>
      </w:r>
      <w:r>
        <w:rPr>
          <w:rFonts w:hint="default" w:ascii="Times New Roman" w:hAnsi="Times New Roman" w:cs="Times New Roman"/>
          <w:b w:val="0"/>
          <w:bCs w:val="0"/>
          <w:kern w:val="21"/>
          <w:sz w:val="32"/>
          <w:szCs w:val="32"/>
          <w:highlight w:val="none"/>
          <w:lang w:val="en-US" w:eastAsia="zh-CN"/>
        </w:rPr>
        <w:t>优势</w:t>
      </w:r>
      <w:r>
        <w:rPr>
          <w:rFonts w:hint="default" w:ascii="Times New Roman" w:hAnsi="Times New Roman" w:eastAsia="仿宋_GB2312" w:cs="Times New Roman"/>
          <w:b w:val="0"/>
          <w:bCs w:val="0"/>
          <w:kern w:val="21"/>
          <w:sz w:val="32"/>
          <w:szCs w:val="32"/>
          <w:highlight w:val="none"/>
          <w:lang w:val="en-US" w:eastAsia="zh-CN"/>
        </w:rPr>
        <w:t>产业</w:t>
      </w:r>
      <w:r>
        <w:rPr>
          <w:rFonts w:hint="default" w:ascii="Times New Roman" w:hAnsi="Times New Roman" w:eastAsia="仿宋_GB2312" w:cs="Times New Roman"/>
          <w:color w:val="auto"/>
          <w:kern w:val="2"/>
          <w:sz w:val="32"/>
          <w:szCs w:val="32"/>
          <w:highlight w:val="none"/>
          <w:u w:val="none" w:color="auto"/>
          <w:lang w:val="en-US" w:eastAsia="zh-CN"/>
        </w:rPr>
        <w:t>提质增效，</w:t>
      </w:r>
      <w:r>
        <w:rPr>
          <w:rFonts w:hint="default" w:ascii="Times New Roman" w:hAnsi="Times New Roman" w:eastAsia="仿宋_GB2312" w:cs="Times New Roman"/>
          <w:kern w:val="21"/>
          <w:sz w:val="32"/>
          <w:szCs w:val="32"/>
          <w:highlight w:val="none"/>
          <w:lang w:val="en-US" w:eastAsia="zh-CN"/>
        </w:rPr>
        <w:t>低空经济、</w:t>
      </w:r>
      <w:r>
        <w:rPr>
          <w:rFonts w:hint="default" w:ascii="Times New Roman" w:hAnsi="Times New Roman" w:cs="Times New Roman"/>
          <w:kern w:val="21"/>
          <w:sz w:val="32"/>
          <w:szCs w:val="32"/>
          <w:highlight w:val="none"/>
          <w:lang w:val="en-US" w:eastAsia="zh-CN"/>
        </w:rPr>
        <w:t>人工智能</w:t>
      </w:r>
      <w:r>
        <w:rPr>
          <w:rFonts w:hint="default" w:ascii="Times New Roman" w:hAnsi="Times New Roman" w:cs="Times New Roman"/>
          <w:b w:val="0"/>
          <w:bCs w:val="0"/>
          <w:kern w:val="21"/>
          <w:sz w:val="32"/>
          <w:szCs w:val="32"/>
          <w:highlight w:val="none"/>
          <w:lang w:val="en-US" w:eastAsia="zh-CN"/>
        </w:rPr>
        <w:t>2</w:t>
      </w:r>
      <w:r>
        <w:rPr>
          <w:rFonts w:hint="default" w:ascii="Times New Roman" w:hAnsi="Times New Roman" w:eastAsia="仿宋_GB2312" w:cs="Times New Roman"/>
          <w:b w:val="0"/>
          <w:bCs w:val="0"/>
          <w:kern w:val="21"/>
          <w:sz w:val="32"/>
          <w:szCs w:val="32"/>
          <w:highlight w:val="none"/>
          <w:lang w:val="en-US" w:eastAsia="zh-CN"/>
        </w:rPr>
        <w:t>大新兴产业</w:t>
      </w:r>
      <w:r>
        <w:rPr>
          <w:rFonts w:hint="default" w:ascii="Times New Roman" w:hAnsi="Times New Roman" w:eastAsia="仿宋_GB2312" w:cs="Times New Roman"/>
          <w:color w:val="auto"/>
          <w:kern w:val="2"/>
          <w:sz w:val="32"/>
          <w:szCs w:val="32"/>
          <w:highlight w:val="none"/>
          <w:u w:val="none" w:color="auto"/>
          <w:lang w:val="en-US" w:eastAsia="zh-CN"/>
        </w:rPr>
        <w:t>聚能成势</w:t>
      </w:r>
      <w:r>
        <w:rPr>
          <w:rFonts w:hint="default" w:ascii="Times New Roman" w:hAnsi="Times New Roman" w:eastAsia="仿宋_GB2312" w:cs="Times New Roman"/>
          <w:b w:val="0"/>
          <w:bCs w:val="0"/>
          <w:kern w:val="21"/>
          <w:sz w:val="32"/>
          <w:szCs w:val="32"/>
          <w:highlight w:val="none"/>
          <w:lang w:val="en-US" w:eastAsia="zh-CN"/>
        </w:rPr>
        <w:t>，</w:t>
      </w:r>
      <w:r>
        <w:rPr>
          <w:rFonts w:hint="default" w:ascii="Times New Roman" w:hAnsi="Times New Roman" w:cs="Times New Roman"/>
          <w:kern w:val="21"/>
          <w:sz w:val="32"/>
          <w:szCs w:val="32"/>
          <w:highlight w:val="none"/>
          <w:lang w:val="en-US" w:eastAsia="zh-CN"/>
        </w:rPr>
        <w:t>现代服务业和现代农业2</w:t>
      </w:r>
      <w:r>
        <w:rPr>
          <w:rFonts w:hint="default" w:ascii="Times New Roman" w:hAnsi="Times New Roman" w:eastAsia="仿宋_GB2312" w:cs="Times New Roman"/>
          <w:b w:val="0"/>
          <w:bCs w:val="0"/>
          <w:kern w:val="21"/>
          <w:sz w:val="32"/>
          <w:szCs w:val="32"/>
          <w:highlight w:val="none"/>
          <w:lang w:val="en-US" w:eastAsia="zh-CN"/>
        </w:rPr>
        <w:t>大基础产业</w:t>
      </w:r>
      <w:r>
        <w:rPr>
          <w:rFonts w:hint="default" w:ascii="Times New Roman" w:hAnsi="Times New Roman" w:eastAsia="仿宋_GB2312" w:cs="Times New Roman"/>
          <w:color w:val="auto"/>
          <w:kern w:val="2"/>
          <w:sz w:val="32"/>
          <w:szCs w:val="32"/>
          <w:highlight w:val="none"/>
          <w:u w:val="none" w:color="auto"/>
          <w:lang w:val="en-US" w:eastAsia="zh-CN"/>
        </w:rPr>
        <w:t>加</w:t>
      </w:r>
      <w:r>
        <w:rPr>
          <w:rFonts w:hint="default" w:ascii="Times New Roman" w:hAnsi="Times New Roman" w:eastAsia="仿宋_GB2312" w:cs="Times New Roman"/>
          <w:color w:val="auto"/>
          <w:spacing w:val="-6"/>
          <w:kern w:val="2"/>
          <w:sz w:val="32"/>
          <w:szCs w:val="32"/>
          <w:highlight w:val="none"/>
          <w:u w:val="none" w:color="auto"/>
          <w:lang w:val="en-US" w:eastAsia="zh-CN"/>
        </w:rPr>
        <w:t>力培强</w:t>
      </w:r>
      <w:r>
        <w:rPr>
          <w:rFonts w:hint="default" w:ascii="Times New Roman" w:hAnsi="Times New Roman" w:cs="Times New Roman"/>
          <w:color w:val="auto"/>
          <w:spacing w:val="-6"/>
          <w:kern w:val="2"/>
          <w:sz w:val="32"/>
          <w:szCs w:val="32"/>
          <w:highlight w:val="none"/>
          <w:u w:val="none" w:color="auto"/>
          <w:lang w:val="en-US" w:eastAsia="zh-CN"/>
        </w:rPr>
        <w:t>，</w:t>
      </w:r>
      <w:r>
        <w:rPr>
          <w:rFonts w:hint="default" w:ascii="Times New Roman" w:hAnsi="Times New Roman" w:eastAsia="仿宋_GB2312" w:cs="Times New Roman"/>
          <w:color w:val="auto"/>
          <w:spacing w:val="-6"/>
          <w:kern w:val="2"/>
          <w:sz w:val="32"/>
          <w:szCs w:val="32"/>
          <w:highlight w:val="none"/>
          <w:u w:val="none" w:color="auto"/>
          <w:lang w:val="en-US" w:eastAsia="zh-CN"/>
        </w:rPr>
        <w:t>加快构建以先进制造业为骨干的“4</w:t>
      </w:r>
      <w:r>
        <w:rPr>
          <w:rFonts w:hint="default" w:ascii="Times New Roman" w:hAnsi="Times New Roman" w:cs="Times New Roman"/>
          <w:color w:val="auto"/>
          <w:spacing w:val="-6"/>
          <w:kern w:val="2"/>
          <w:sz w:val="32"/>
          <w:szCs w:val="32"/>
          <w:highlight w:val="none"/>
          <w:u w:val="none" w:color="auto"/>
          <w:lang w:val="en-US" w:eastAsia="zh-CN"/>
        </w:rPr>
        <w:t>2</w:t>
      </w:r>
      <w:r>
        <w:rPr>
          <w:rFonts w:hint="default" w:ascii="Times New Roman" w:hAnsi="Times New Roman" w:eastAsia="仿宋_GB2312" w:cs="Times New Roman"/>
          <w:color w:val="auto"/>
          <w:spacing w:val="-6"/>
          <w:kern w:val="2"/>
          <w:sz w:val="32"/>
          <w:szCs w:val="32"/>
          <w:highlight w:val="none"/>
          <w:u w:val="none" w:color="auto"/>
          <w:lang w:val="en-US" w:eastAsia="zh-CN"/>
        </w:rPr>
        <w:t>2”现代化产业体系</w:t>
      </w:r>
      <w:r>
        <w:rPr>
          <w:rFonts w:hint="default" w:ascii="Times New Roman" w:hAnsi="Times New Roman" w:eastAsia="仿宋_GB2312" w:cs="Times New Roman"/>
          <w:b w:val="0"/>
          <w:bCs w:val="0"/>
          <w:spacing w:val="-6"/>
          <w:kern w:val="21"/>
          <w:sz w:val="32"/>
          <w:szCs w:val="32"/>
          <w:lang w:val="en-US" w:eastAsia="zh-CN"/>
        </w:rPr>
        <w:t>。</w:t>
      </w:r>
    </w:p>
    <w:p w14:paraId="4D51BB9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b w:val="0"/>
          <w:bCs w:val="0"/>
          <w:kern w:val="21"/>
          <w:sz w:val="32"/>
          <w:szCs w:val="32"/>
          <w:lang w:val="en-US" w:eastAsia="zh-CN"/>
        </w:rPr>
      </w:pPr>
      <w:r>
        <w:rPr>
          <w:rFonts w:hint="default" w:ascii="Times New Roman" w:hAnsi="Times New Roman" w:eastAsia="楷体" w:cs="Times New Roman"/>
          <w:b w:val="0"/>
          <w:bCs w:val="0"/>
          <w:kern w:val="21"/>
          <w:sz w:val="32"/>
          <w:szCs w:val="32"/>
          <w:lang w:val="en-US" w:eastAsia="zh-CN"/>
        </w:rPr>
        <w:t>——</w:t>
      </w:r>
      <w:r>
        <w:rPr>
          <w:rFonts w:hint="eastAsia" w:ascii="楷体_GB2312" w:hAnsi="楷体_GB2312" w:eastAsia="楷体_GB2312" w:cs="楷体_GB2312"/>
          <w:b w:val="0"/>
          <w:bCs w:val="0"/>
          <w:kern w:val="21"/>
          <w:sz w:val="32"/>
          <w:szCs w:val="32"/>
          <w:lang w:val="en-US" w:eastAsia="zh-CN"/>
        </w:rPr>
        <w:t>创新驱动活力迸发。</w:t>
      </w:r>
      <w:r>
        <w:rPr>
          <w:rFonts w:hint="default" w:ascii="Times New Roman" w:hAnsi="Times New Roman" w:eastAsia="仿宋_GB2312" w:cs="Times New Roman"/>
          <w:b w:val="0"/>
          <w:bCs w:val="0"/>
          <w:kern w:val="21"/>
          <w:sz w:val="32"/>
          <w:szCs w:val="32"/>
          <w:highlight w:val="none"/>
          <w:lang w:val="en-US" w:eastAsia="zh-CN"/>
        </w:rPr>
        <w:t>创新生态持续优化，创新平台体系更加完善，产学研协同创新深度推进，企业创新主体地位进一步凸显。研发投入强度稳步提高，科技成果转化效率显著提升</w:t>
      </w:r>
      <w:r>
        <w:rPr>
          <w:rFonts w:hint="default" w:ascii="Times New Roman" w:hAnsi="Times New Roman" w:cs="Times New Roman"/>
          <w:b w:val="0"/>
          <w:bCs w:val="0"/>
          <w:kern w:val="21"/>
          <w:sz w:val="32"/>
          <w:szCs w:val="32"/>
          <w:highlight w:val="none"/>
          <w:lang w:val="en-US" w:eastAsia="zh-CN"/>
        </w:rPr>
        <w:t>。</w:t>
      </w:r>
      <w:r>
        <w:rPr>
          <w:rFonts w:hint="default" w:ascii="Times New Roman" w:hAnsi="Times New Roman" w:eastAsia="仿宋_GB2312" w:cs="Times New Roman"/>
          <w:color w:val="auto"/>
          <w:sz w:val="32"/>
          <w:szCs w:val="32"/>
          <w:highlight w:val="none"/>
          <w:u w:val="none" w:color="auto"/>
          <w:lang w:eastAsia="zh-CN"/>
        </w:rPr>
        <w:t>加快建设</w:t>
      </w:r>
      <w:r>
        <w:rPr>
          <w:rFonts w:hint="default" w:ascii="Times New Roman" w:hAnsi="Times New Roman" w:eastAsia="仿宋_GB2312" w:cs="Times New Roman"/>
          <w:color w:val="auto"/>
          <w:sz w:val="32"/>
          <w:szCs w:val="32"/>
          <w:highlight w:val="none"/>
          <w:u w:val="none" w:color="auto"/>
        </w:rPr>
        <w:t>与实体经济</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val="en-US" w:eastAsia="zh-CN"/>
        </w:rPr>
        <w:t>社会治理</w:t>
      </w:r>
      <w:r>
        <w:rPr>
          <w:rFonts w:hint="default" w:ascii="Times New Roman" w:hAnsi="Times New Roman" w:eastAsia="仿宋_GB2312" w:cs="Times New Roman"/>
          <w:color w:val="auto"/>
          <w:sz w:val="32"/>
          <w:szCs w:val="32"/>
          <w:highlight w:val="none"/>
          <w:u w:val="none" w:color="auto"/>
        </w:rPr>
        <w:t>深度</w:t>
      </w:r>
      <w:r>
        <w:rPr>
          <w:rFonts w:hint="default" w:ascii="Times New Roman" w:hAnsi="Times New Roman" w:eastAsia="仿宋_GB2312" w:cs="Times New Roman"/>
          <w:color w:val="auto"/>
          <w:sz w:val="32"/>
          <w:szCs w:val="32"/>
          <w:highlight w:val="none"/>
          <w:u w:val="none" w:color="auto"/>
          <w:lang w:val="en-US" w:eastAsia="zh-CN"/>
        </w:rPr>
        <w:t>融合</w:t>
      </w:r>
      <w:r>
        <w:rPr>
          <w:rFonts w:hint="default" w:ascii="Times New Roman" w:hAnsi="Times New Roman" w:eastAsia="仿宋_GB2312" w:cs="Times New Roman"/>
          <w:color w:val="auto"/>
          <w:sz w:val="32"/>
          <w:szCs w:val="32"/>
          <w:highlight w:val="none"/>
          <w:u w:val="none" w:color="auto"/>
        </w:rPr>
        <w:t>的人工智能应用体系</w:t>
      </w:r>
      <w:r>
        <w:rPr>
          <w:rFonts w:hint="default" w:ascii="Times New Roman" w:hAnsi="Times New Roman" w:cs="Times New Roman"/>
          <w:color w:val="auto"/>
          <w:sz w:val="32"/>
          <w:szCs w:val="32"/>
          <w:highlight w:val="none"/>
          <w:u w:val="none" w:color="auto"/>
          <w:lang w:eastAsia="zh-CN"/>
        </w:rPr>
        <w:t>。</w:t>
      </w:r>
      <w:r>
        <w:rPr>
          <w:rFonts w:hint="default" w:ascii="Times New Roman" w:hAnsi="Times New Roman" w:eastAsia="仿宋_GB2312" w:cs="Times New Roman"/>
          <w:b w:val="0"/>
          <w:bCs w:val="0"/>
          <w:kern w:val="21"/>
          <w:sz w:val="32"/>
          <w:szCs w:val="32"/>
          <w:highlight w:val="none"/>
          <w:lang w:val="en-US" w:eastAsia="zh-CN"/>
        </w:rPr>
        <w:t>创新人才集聚效应明显，创新驱动成为高质量发展的核心引擎</w:t>
      </w:r>
      <w:r>
        <w:rPr>
          <w:rFonts w:hint="default" w:ascii="Times New Roman" w:hAnsi="Times New Roman" w:eastAsia="仿宋_GB2312" w:cs="Times New Roman"/>
          <w:b w:val="0"/>
          <w:bCs w:val="0"/>
          <w:kern w:val="21"/>
          <w:sz w:val="32"/>
          <w:szCs w:val="32"/>
          <w:lang w:val="en-US" w:eastAsia="zh-CN"/>
        </w:rPr>
        <w:t>。</w:t>
      </w:r>
    </w:p>
    <w:p w14:paraId="07072F3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b w:val="0"/>
          <w:bCs w:val="0"/>
          <w:kern w:val="21"/>
          <w:sz w:val="32"/>
          <w:szCs w:val="32"/>
          <w:lang w:val="en-US" w:eastAsia="zh-CN"/>
        </w:rPr>
      </w:pPr>
      <w:r>
        <w:rPr>
          <w:rFonts w:hint="default" w:ascii="Times New Roman" w:hAnsi="Times New Roman" w:eastAsia="楷体" w:cs="Times New Roman"/>
          <w:b w:val="0"/>
          <w:bCs w:val="0"/>
          <w:kern w:val="21"/>
          <w:sz w:val="32"/>
          <w:szCs w:val="32"/>
          <w:lang w:val="en-US" w:eastAsia="zh-CN"/>
        </w:rPr>
        <w:t>——</w:t>
      </w:r>
      <w:r>
        <w:rPr>
          <w:rFonts w:hint="eastAsia" w:ascii="楷体_GB2312" w:hAnsi="楷体_GB2312" w:eastAsia="楷体_GB2312" w:cs="楷体_GB2312"/>
          <w:b w:val="0"/>
          <w:bCs w:val="0"/>
          <w:kern w:val="21"/>
          <w:sz w:val="32"/>
          <w:szCs w:val="32"/>
          <w:lang w:val="en-US" w:eastAsia="zh-CN"/>
        </w:rPr>
        <w:t>改革开放纵深突破。</w:t>
      </w:r>
      <w:r>
        <w:rPr>
          <w:rFonts w:hint="default" w:ascii="Times New Roman" w:hAnsi="Times New Roman" w:eastAsia="仿宋_GB2312" w:cs="Times New Roman"/>
          <w:b w:val="0"/>
          <w:bCs w:val="0"/>
          <w:kern w:val="21"/>
          <w:sz w:val="32"/>
          <w:szCs w:val="32"/>
          <w:highlight w:val="none"/>
          <w:lang w:val="en-US" w:eastAsia="zh-CN"/>
        </w:rPr>
        <w:t>重点领域和关键环节改革取得</w:t>
      </w:r>
      <w:r>
        <w:rPr>
          <w:rFonts w:hint="default" w:ascii="Times New Roman" w:hAnsi="Times New Roman" w:cs="Times New Roman"/>
          <w:b w:val="0"/>
          <w:bCs w:val="0"/>
          <w:kern w:val="21"/>
          <w:sz w:val="32"/>
          <w:szCs w:val="32"/>
          <w:highlight w:val="none"/>
          <w:lang w:val="en-US" w:eastAsia="zh-CN"/>
        </w:rPr>
        <w:t>新突破</w:t>
      </w:r>
      <w:r>
        <w:rPr>
          <w:rFonts w:hint="default" w:ascii="Times New Roman" w:hAnsi="Times New Roman" w:eastAsia="仿宋_GB2312" w:cs="Times New Roman"/>
          <w:b w:val="0"/>
          <w:bCs w:val="0"/>
          <w:kern w:val="21"/>
          <w:sz w:val="32"/>
          <w:szCs w:val="32"/>
          <w:highlight w:val="none"/>
          <w:lang w:val="en-US" w:eastAsia="zh-CN"/>
        </w:rPr>
        <w:t>，要素市场化配置效率大幅提升，营商环境持续优化。</w:t>
      </w:r>
      <w:r>
        <w:rPr>
          <w:rFonts w:hint="default" w:ascii="Times New Roman" w:hAnsi="Times New Roman" w:cs="Times New Roman"/>
          <w:b w:val="0"/>
          <w:bCs w:val="0"/>
          <w:kern w:val="21"/>
          <w:sz w:val="32"/>
          <w:szCs w:val="32"/>
          <w:highlight w:val="none"/>
          <w:lang w:val="en-US" w:eastAsia="zh-CN"/>
        </w:rPr>
        <w:t>链式招商全面深化，</w:t>
      </w:r>
      <w:r>
        <w:rPr>
          <w:rFonts w:hint="default" w:ascii="Times New Roman" w:hAnsi="Times New Roman" w:eastAsia="仿宋_GB2312" w:cs="Times New Roman"/>
          <w:b w:val="0"/>
          <w:bCs w:val="0"/>
          <w:kern w:val="21"/>
          <w:sz w:val="32"/>
          <w:szCs w:val="32"/>
          <w:highlight w:val="none"/>
          <w:lang w:val="en-US" w:eastAsia="zh-CN"/>
        </w:rPr>
        <w:t>招商引资精准度</w:t>
      </w:r>
      <w:r>
        <w:rPr>
          <w:rFonts w:hint="default" w:ascii="Times New Roman" w:hAnsi="Times New Roman" w:cs="Times New Roman"/>
          <w:b w:val="0"/>
          <w:bCs w:val="0"/>
          <w:kern w:val="21"/>
          <w:sz w:val="32"/>
          <w:szCs w:val="32"/>
          <w:highlight w:val="none"/>
          <w:lang w:val="en-US" w:eastAsia="zh-CN"/>
        </w:rPr>
        <w:t>不断提高</w:t>
      </w:r>
      <w:r>
        <w:rPr>
          <w:rFonts w:hint="default" w:ascii="Times New Roman" w:hAnsi="Times New Roman" w:eastAsia="仿宋_GB2312" w:cs="Times New Roman"/>
          <w:b w:val="0"/>
          <w:bCs w:val="0"/>
          <w:kern w:val="21"/>
          <w:sz w:val="32"/>
          <w:szCs w:val="32"/>
          <w:highlight w:val="none"/>
          <w:lang w:val="en-US" w:eastAsia="zh-CN"/>
        </w:rPr>
        <w:t>，高水平对外开放格局加快构建，外贸外资发展质量效益稳步提升，区域协同合作深度拓展，发展内生动力充分释放</w:t>
      </w:r>
      <w:r>
        <w:rPr>
          <w:rFonts w:hint="default" w:ascii="Times New Roman" w:hAnsi="Times New Roman" w:eastAsia="仿宋_GB2312" w:cs="Times New Roman"/>
          <w:b w:val="0"/>
          <w:bCs w:val="0"/>
          <w:kern w:val="21"/>
          <w:sz w:val="32"/>
          <w:szCs w:val="32"/>
          <w:lang w:val="en-US" w:eastAsia="zh-CN"/>
        </w:rPr>
        <w:t>。</w:t>
      </w:r>
    </w:p>
    <w:p w14:paraId="0F6783C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b w:val="0"/>
          <w:bCs w:val="0"/>
          <w:kern w:val="21"/>
          <w:sz w:val="32"/>
          <w:szCs w:val="32"/>
          <w:lang w:val="en-US" w:eastAsia="zh-CN"/>
        </w:rPr>
      </w:pPr>
      <w:r>
        <w:rPr>
          <w:rFonts w:hint="default" w:ascii="Times New Roman" w:hAnsi="Times New Roman" w:eastAsia="楷体" w:cs="Times New Roman"/>
          <w:b w:val="0"/>
          <w:bCs w:val="0"/>
          <w:kern w:val="21"/>
          <w:sz w:val="32"/>
          <w:szCs w:val="32"/>
          <w:lang w:val="en-US" w:eastAsia="zh-CN"/>
        </w:rPr>
        <w:t>——</w:t>
      </w:r>
      <w:r>
        <w:rPr>
          <w:rFonts w:hint="eastAsia" w:ascii="楷体_GB2312" w:hAnsi="楷体_GB2312" w:eastAsia="楷体_GB2312" w:cs="楷体_GB2312"/>
          <w:b w:val="0"/>
          <w:bCs w:val="0"/>
          <w:kern w:val="21"/>
          <w:sz w:val="32"/>
          <w:szCs w:val="32"/>
          <w:lang w:val="en-US" w:eastAsia="zh-CN"/>
        </w:rPr>
        <w:t>城乡融合深度推进。</w:t>
      </w:r>
      <w:r>
        <w:rPr>
          <w:rFonts w:hint="default" w:ascii="Times New Roman" w:hAnsi="Times New Roman" w:eastAsia="仿宋_GB2312" w:cs="Times New Roman"/>
          <w:b w:val="0"/>
          <w:bCs w:val="0"/>
          <w:kern w:val="21"/>
          <w:sz w:val="32"/>
          <w:szCs w:val="32"/>
          <w:highlight w:val="none"/>
          <w:lang w:val="en-US" w:eastAsia="zh-CN"/>
        </w:rPr>
        <w:t>城市功能品质持续升级，市驻地首位度和辐射带动能力显著增强，城市精细化治理水平全面提高</w:t>
      </w:r>
      <w:r>
        <w:rPr>
          <w:rFonts w:hint="default" w:ascii="Times New Roman" w:hAnsi="Times New Roman" w:cs="Times New Roman"/>
          <w:b w:val="0"/>
          <w:bCs w:val="0"/>
          <w:kern w:val="21"/>
          <w:sz w:val="32"/>
          <w:szCs w:val="32"/>
          <w:highlight w:val="none"/>
          <w:lang w:val="en-US" w:eastAsia="zh-CN"/>
        </w:rPr>
        <w:t>，市驻地对人气、商气和产业的集聚能力持续增强，首位度显著提升</w:t>
      </w:r>
      <w:r>
        <w:rPr>
          <w:rFonts w:hint="default" w:ascii="Times New Roman" w:hAnsi="Times New Roman" w:eastAsia="仿宋_GB2312" w:cs="Times New Roman"/>
          <w:b w:val="0"/>
          <w:bCs w:val="0"/>
          <w:kern w:val="21"/>
          <w:sz w:val="32"/>
          <w:szCs w:val="32"/>
          <w:highlight w:val="none"/>
          <w:lang w:val="en-US" w:eastAsia="zh-CN"/>
        </w:rPr>
        <w:t>。乡村振兴</w:t>
      </w:r>
      <w:r>
        <w:rPr>
          <w:rFonts w:hint="default" w:ascii="Times New Roman" w:hAnsi="Times New Roman" w:cs="Times New Roman"/>
          <w:b w:val="0"/>
          <w:bCs w:val="0"/>
          <w:kern w:val="21"/>
          <w:sz w:val="32"/>
          <w:szCs w:val="32"/>
          <w:highlight w:val="none"/>
          <w:lang w:val="en-US" w:eastAsia="zh-CN"/>
        </w:rPr>
        <w:t>取得重大突破</w:t>
      </w:r>
      <w:r>
        <w:rPr>
          <w:rFonts w:hint="default" w:ascii="Times New Roman" w:hAnsi="Times New Roman" w:eastAsia="仿宋_GB2312" w:cs="Times New Roman"/>
          <w:b w:val="0"/>
          <w:bCs w:val="0"/>
          <w:kern w:val="21"/>
          <w:sz w:val="32"/>
          <w:szCs w:val="32"/>
          <w:highlight w:val="none"/>
          <w:lang w:val="en-US" w:eastAsia="zh-CN"/>
        </w:rPr>
        <w:t>，乡村产业、人才、文化、生态、组织全面振兴，城乡要素双向流动更加顺畅，城乡基本公共服务均等化水平持续提高</w:t>
      </w:r>
      <w:r>
        <w:rPr>
          <w:rFonts w:hint="default" w:ascii="Times New Roman" w:hAnsi="Times New Roman" w:eastAsia="仿宋_GB2312" w:cs="Times New Roman"/>
          <w:b w:val="0"/>
          <w:bCs w:val="0"/>
          <w:kern w:val="21"/>
          <w:sz w:val="32"/>
          <w:szCs w:val="32"/>
          <w:lang w:val="en-US" w:eastAsia="zh-CN"/>
        </w:rPr>
        <w:t>。</w:t>
      </w:r>
    </w:p>
    <w:p w14:paraId="222A34F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b w:val="0"/>
          <w:bCs w:val="0"/>
          <w:kern w:val="21"/>
          <w:sz w:val="32"/>
          <w:szCs w:val="32"/>
          <w:lang w:val="en-US" w:eastAsia="zh-CN"/>
        </w:rPr>
      </w:pPr>
      <w:r>
        <w:rPr>
          <w:rFonts w:hint="default" w:ascii="Times New Roman" w:hAnsi="Times New Roman" w:eastAsia="楷体" w:cs="Times New Roman"/>
          <w:b w:val="0"/>
          <w:bCs w:val="0"/>
          <w:kern w:val="21"/>
          <w:sz w:val="32"/>
          <w:szCs w:val="32"/>
          <w:lang w:val="en-US" w:eastAsia="zh-CN"/>
        </w:rPr>
        <w:t>——</w:t>
      </w:r>
      <w:r>
        <w:rPr>
          <w:rFonts w:hint="eastAsia" w:ascii="楷体_GB2312" w:hAnsi="楷体_GB2312" w:eastAsia="楷体_GB2312" w:cs="楷体_GB2312"/>
          <w:b w:val="0"/>
          <w:bCs w:val="0"/>
          <w:kern w:val="21"/>
          <w:sz w:val="32"/>
          <w:szCs w:val="32"/>
          <w:lang w:val="en-US" w:eastAsia="zh-CN"/>
        </w:rPr>
        <w:t>生态质量持续向好。</w:t>
      </w:r>
      <w:r>
        <w:rPr>
          <w:rFonts w:hint="default" w:ascii="Times New Roman" w:hAnsi="Times New Roman" w:eastAsia="仿宋_GB2312" w:cs="Times New Roman"/>
          <w:b w:val="0"/>
          <w:bCs w:val="0"/>
          <w:kern w:val="21"/>
          <w:sz w:val="32"/>
          <w:szCs w:val="32"/>
          <w:lang w:val="en-US" w:eastAsia="zh-CN"/>
        </w:rPr>
        <w:t>绿色低碳转型深入推进，碳达峰目标有序落实，污染防治攻坚成果持续巩固，空气质量稳步改善，水环境质量保持稳定，土壤环境安全得到有效保障，生态保护与修复扎实推进，人与自然和谐共生的美丽薛城建设取得显著成效。</w:t>
      </w:r>
    </w:p>
    <w:p w14:paraId="53C5D32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b w:val="0"/>
          <w:bCs w:val="0"/>
          <w:kern w:val="21"/>
          <w:sz w:val="32"/>
          <w:szCs w:val="32"/>
          <w:lang w:val="en-US" w:eastAsia="zh-CN"/>
        </w:rPr>
      </w:pPr>
      <w:r>
        <w:rPr>
          <w:rFonts w:hint="default" w:ascii="Times New Roman" w:hAnsi="Times New Roman" w:eastAsia="楷体" w:cs="Times New Roman"/>
          <w:b w:val="0"/>
          <w:bCs w:val="0"/>
          <w:kern w:val="21"/>
          <w:sz w:val="32"/>
          <w:szCs w:val="32"/>
          <w:lang w:val="en-US" w:eastAsia="zh-CN"/>
        </w:rPr>
        <w:t>——</w:t>
      </w:r>
      <w:r>
        <w:rPr>
          <w:rFonts w:hint="eastAsia" w:ascii="楷体_GB2312" w:hAnsi="楷体_GB2312" w:eastAsia="楷体_GB2312" w:cs="楷体_GB2312"/>
          <w:b w:val="0"/>
          <w:bCs w:val="0"/>
          <w:kern w:val="21"/>
          <w:sz w:val="32"/>
          <w:szCs w:val="32"/>
          <w:lang w:val="en-US" w:eastAsia="zh-CN"/>
        </w:rPr>
        <w:t>民生福祉更加殷实。</w:t>
      </w:r>
      <w:r>
        <w:rPr>
          <w:rFonts w:hint="default" w:ascii="Times New Roman" w:hAnsi="Times New Roman" w:eastAsia="仿宋_GB2312" w:cs="Times New Roman"/>
          <w:b w:val="0"/>
          <w:bCs w:val="0"/>
          <w:kern w:val="21"/>
          <w:sz w:val="32"/>
          <w:szCs w:val="32"/>
          <w:lang w:val="en-US" w:eastAsia="zh-CN"/>
        </w:rPr>
        <w:t>坚持在发展中保障和改善民生，高质量充分就业得到有效保障，居民收入水平稳步增长</w:t>
      </w:r>
      <w:r>
        <w:rPr>
          <w:rFonts w:hint="default" w:ascii="Times New Roman" w:hAnsi="Times New Roman" w:cs="Times New Roman"/>
          <w:b w:val="0"/>
          <w:bCs w:val="0"/>
          <w:kern w:val="21"/>
          <w:sz w:val="32"/>
          <w:szCs w:val="32"/>
          <w:lang w:val="en-US" w:eastAsia="zh-CN"/>
        </w:rPr>
        <w:t>，</w:t>
      </w:r>
      <w:r>
        <w:rPr>
          <w:rFonts w:hint="default" w:ascii="Times New Roman" w:hAnsi="Times New Roman" w:eastAsia="仿宋_GB2312" w:cs="Times New Roman"/>
          <w:b w:val="0"/>
          <w:bCs w:val="0"/>
          <w:kern w:val="21"/>
          <w:sz w:val="32"/>
          <w:szCs w:val="32"/>
          <w:lang w:val="en-US" w:eastAsia="zh-CN"/>
        </w:rPr>
        <w:t>教育、医疗、养老、托育、住房等公共服务供给更加优质均衡，社会保障体系更加健全完善，基本公共服务均等化水平持续提升，人民群众获得感、幸福感、安全感不断增强。</w:t>
      </w:r>
    </w:p>
    <w:p w14:paraId="30843C4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b w:val="0"/>
          <w:bCs w:val="0"/>
          <w:kern w:val="21"/>
          <w:sz w:val="32"/>
          <w:szCs w:val="32"/>
          <w:lang w:val="en-US" w:eastAsia="zh-CN"/>
        </w:rPr>
      </w:pPr>
      <w:r>
        <w:rPr>
          <w:rFonts w:hint="default" w:ascii="Times New Roman" w:hAnsi="Times New Roman" w:eastAsia="楷体" w:cs="Times New Roman"/>
          <w:b w:val="0"/>
          <w:bCs w:val="0"/>
          <w:kern w:val="21"/>
          <w:sz w:val="32"/>
          <w:szCs w:val="32"/>
          <w:lang w:val="en-US" w:eastAsia="zh-CN"/>
        </w:rPr>
        <w:t>——</w:t>
      </w:r>
      <w:r>
        <w:rPr>
          <w:rFonts w:hint="eastAsia" w:ascii="楷体_GB2312" w:hAnsi="楷体_GB2312" w:eastAsia="楷体_GB2312" w:cs="楷体_GB2312"/>
          <w:b w:val="0"/>
          <w:bCs w:val="0"/>
          <w:kern w:val="21"/>
          <w:sz w:val="32"/>
          <w:szCs w:val="32"/>
          <w:lang w:val="en-US" w:eastAsia="zh-CN"/>
        </w:rPr>
        <w:t>治理效能显著提升。</w:t>
      </w:r>
      <w:r>
        <w:rPr>
          <w:rFonts w:hint="default" w:ascii="Times New Roman" w:hAnsi="Times New Roman" w:eastAsia="仿宋_GB2312" w:cs="Times New Roman"/>
          <w:b w:val="0"/>
          <w:bCs w:val="0"/>
          <w:kern w:val="21"/>
          <w:sz w:val="32"/>
          <w:szCs w:val="32"/>
          <w:lang w:val="en-US" w:eastAsia="zh-CN"/>
        </w:rPr>
        <w:t>法治薛城、平安薛城建设深入推进，社会治理体系和治理能力现代化水平全面提高</w:t>
      </w:r>
      <w:r>
        <w:rPr>
          <w:rFonts w:hint="default" w:ascii="Times New Roman" w:hAnsi="Times New Roman" w:cs="Times New Roman"/>
          <w:b w:val="0"/>
          <w:bCs w:val="0"/>
          <w:kern w:val="21"/>
          <w:sz w:val="32"/>
          <w:szCs w:val="32"/>
          <w:lang w:val="en-US" w:eastAsia="zh-CN"/>
        </w:rPr>
        <w:t>，</w:t>
      </w:r>
      <w:r>
        <w:rPr>
          <w:rFonts w:hint="default" w:ascii="Times New Roman" w:hAnsi="Times New Roman" w:eastAsia="仿宋_GB2312" w:cs="Times New Roman"/>
          <w:b w:val="0"/>
          <w:bCs w:val="0"/>
          <w:kern w:val="21"/>
          <w:sz w:val="32"/>
          <w:szCs w:val="32"/>
          <w:lang w:val="en-US" w:eastAsia="zh-CN"/>
        </w:rPr>
        <w:t>风险防控体系不断健全，生产安全底线牢牢守住，应急管理现代化能力显著增强，基层治理效能持续提升，社会大局保持和谐稳定，为高质量发展提供坚实安全保障。</w:t>
      </w:r>
    </w:p>
    <w:p w14:paraId="1DD9CCBE">
      <w:pPr>
        <w:rPr>
          <w:rFonts w:hint="default" w:ascii="Times New Roman" w:hAnsi="Times New Roman" w:eastAsia="仿宋_GB2312" w:cs="Times New Roman"/>
          <w:color w:val="auto"/>
          <w:lang w:val="en-US" w:eastAsia="zh-CN"/>
        </w:rPr>
      </w:pPr>
    </w:p>
    <w:p w14:paraId="3440B1C1">
      <w:pPr>
        <w:pStyle w:val="18"/>
        <w:rPr>
          <w:rFonts w:hint="default" w:ascii="Times New Roman" w:hAnsi="Times New Roman" w:eastAsia="仿宋_GB2312" w:cs="Times New Roman"/>
          <w:color w:val="auto"/>
          <w:lang w:val="en-US" w:eastAsia="zh-CN"/>
        </w:rPr>
      </w:pPr>
    </w:p>
    <w:p w14:paraId="1858F75F">
      <w:pPr>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br w:type="page"/>
      </w:r>
    </w:p>
    <w:p w14:paraId="5AC9507D">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60" w:lineRule="exact"/>
        <w:ind w:firstLine="0" w:firstLineChars="0"/>
        <w:jc w:val="center"/>
        <w:textAlignment w:val="auto"/>
        <w:rPr>
          <w:rFonts w:hint="default" w:ascii="Times New Roman" w:hAnsi="Times New Roman" w:eastAsia="仿宋_GB2312" w:cs="Times New Roman"/>
          <w:b/>
          <w:bCs/>
          <w:color w:val="auto"/>
          <w:spacing w:val="0"/>
          <w:kern w:val="2"/>
          <w:sz w:val="32"/>
          <w:szCs w:val="32"/>
          <w:highlight w:val="none"/>
          <w:u w:val="none"/>
          <w:lang w:val="en-US" w:eastAsia="zh-CN" w:bidi="ar-SA"/>
        </w:rPr>
      </w:pPr>
      <w:r>
        <w:rPr>
          <w:rFonts w:hint="default" w:ascii="Times New Roman" w:hAnsi="Times New Roman" w:cs="Times New Roman"/>
          <w:b/>
          <w:bCs/>
          <w:color w:val="auto"/>
          <w:spacing w:val="0"/>
          <w:sz w:val="32"/>
          <w:szCs w:val="32"/>
          <w:highlight w:val="none"/>
          <w:u w:val="none"/>
          <w:lang w:val="en-US" w:eastAsia="zh-CN"/>
        </w:rPr>
        <w:t>薛城区</w:t>
      </w:r>
      <w:r>
        <w:rPr>
          <w:rFonts w:hint="default" w:ascii="Times New Roman" w:hAnsi="Times New Roman" w:eastAsia="仿宋_GB2312" w:cs="Times New Roman"/>
          <w:b/>
          <w:bCs/>
          <w:color w:val="auto"/>
          <w:spacing w:val="0"/>
          <w:sz w:val="32"/>
          <w:szCs w:val="32"/>
          <w:highlight w:val="none"/>
          <w:u w:val="none"/>
        </w:rPr>
        <w:t>“十五五”时期经济社会发展主要指标</w:t>
      </w:r>
    </w:p>
    <w:tbl>
      <w:tblPr>
        <w:tblStyle w:val="20"/>
        <w:tblW w:w="5383" w:type="pct"/>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autofit"/>
        <w:tblCellMar>
          <w:top w:w="0" w:type="dxa"/>
          <w:left w:w="0" w:type="dxa"/>
          <w:bottom w:w="0" w:type="dxa"/>
          <w:right w:w="0" w:type="dxa"/>
        </w:tblCellMar>
      </w:tblPr>
      <w:tblGrid>
        <w:gridCol w:w="2183"/>
        <w:gridCol w:w="2383"/>
        <w:gridCol w:w="1224"/>
        <w:gridCol w:w="1070"/>
        <w:gridCol w:w="1326"/>
        <w:gridCol w:w="987"/>
      </w:tblGrid>
      <w:tr w14:paraId="0DEB87F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13" w:hRule="atLeast"/>
          <w:tblHeader/>
          <w:jc w:val="center"/>
        </w:trPr>
        <w:tc>
          <w:tcPr>
            <w:tcW w:w="2489" w:type="pct"/>
            <w:gridSpan w:val="2"/>
            <w:tcBorders>
              <w:top w:val="single" w:color="231F20" w:sz="6" w:space="0"/>
              <w:left w:val="single" w:color="231F20" w:sz="6" w:space="0"/>
            </w:tcBorders>
            <w:vAlign w:val="center"/>
          </w:tcPr>
          <w:p w14:paraId="7B726E47">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b/>
                <w:bCs/>
                <w:color w:val="auto"/>
                <w:spacing w:val="0"/>
                <w:w w:val="100"/>
                <w:kern w:val="21"/>
                <w:position w:val="0"/>
                <w:sz w:val="21"/>
                <w:szCs w:val="21"/>
                <w:u w:val="none"/>
              </w:rPr>
            </w:pPr>
            <w:r>
              <w:rPr>
                <w:rFonts w:hint="default" w:ascii="Times New Roman" w:hAnsi="Times New Roman" w:eastAsia="仿宋_GB2312" w:cs="Times New Roman"/>
                <w:b/>
                <w:bCs/>
                <w:color w:val="auto"/>
                <w:spacing w:val="0"/>
                <w:w w:val="100"/>
                <w:kern w:val="21"/>
                <w:position w:val="0"/>
                <w:sz w:val="21"/>
                <w:szCs w:val="21"/>
                <w:u w:val="none"/>
              </w:rPr>
              <w:t>指标</w:t>
            </w:r>
            <w:r>
              <w:rPr>
                <w:rFonts w:hint="default" w:ascii="Times New Roman" w:hAnsi="Times New Roman" w:eastAsia="仿宋_GB2312" w:cs="Times New Roman"/>
                <w:b/>
                <w:bCs/>
                <w:color w:val="auto"/>
                <w:spacing w:val="0"/>
                <w:w w:val="100"/>
                <w:kern w:val="21"/>
                <w:position w:val="0"/>
                <w:sz w:val="21"/>
                <w:szCs w:val="21"/>
                <w:u w:val="none"/>
                <w:lang w:eastAsia="zh-CN"/>
              </w:rPr>
              <w:t>（</w:t>
            </w:r>
            <w:r>
              <w:rPr>
                <w:rFonts w:hint="default" w:ascii="Times New Roman" w:hAnsi="Times New Roman" w:eastAsia="仿宋_GB2312" w:cs="Times New Roman"/>
                <w:b/>
                <w:bCs/>
                <w:color w:val="auto"/>
                <w:spacing w:val="0"/>
                <w:w w:val="100"/>
                <w:kern w:val="21"/>
                <w:position w:val="0"/>
                <w:sz w:val="21"/>
                <w:szCs w:val="21"/>
                <w:u w:val="none"/>
              </w:rPr>
              <w:t>单位</w:t>
            </w:r>
            <w:r>
              <w:rPr>
                <w:rFonts w:hint="default" w:ascii="Times New Roman" w:hAnsi="Times New Roman" w:eastAsia="仿宋_GB2312" w:cs="Times New Roman"/>
                <w:b/>
                <w:bCs/>
                <w:color w:val="auto"/>
                <w:spacing w:val="0"/>
                <w:w w:val="100"/>
                <w:kern w:val="21"/>
                <w:position w:val="0"/>
                <w:sz w:val="21"/>
                <w:szCs w:val="21"/>
                <w:u w:val="none"/>
                <w:lang w:eastAsia="zh-CN"/>
              </w:rPr>
              <w:t>）</w:t>
            </w:r>
          </w:p>
        </w:tc>
        <w:tc>
          <w:tcPr>
            <w:tcW w:w="667" w:type="pct"/>
            <w:tcBorders>
              <w:top w:val="single" w:color="231F20" w:sz="6" w:space="0"/>
            </w:tcBorders>
            <w:vAlign w:val="center"/>
          </w:tcPr>
          <w:p w14:paraId="5678A16C">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b/>
                <w:bCs/>
                <w:color w:val="auto"/>
                <w:spacing w:val="0"/>
                <w:w w:val="100"/>
                <w:kern w:val="21"/>
                <w:position w:val="0"/>
                <w:sz w:val="21"/>
                <w:szCs w:val="21"/>
                <w:u w:val="none"/>
                <w:lang w:val="en-US" w:eastAsia="zh-CN"/>
              </w:rPr>
            </w:pPr>
            <w:r>
              <w:rPr>
                <w:rFonts w:hint="default" w:ascii="Times New Roman" w:hAnsi="Times New Roman" w:eastAsia="仿宋_GB2312" w:cs="Times New Roman"/>
                <w:b/>
                <w:bCs/>
                <w:color w:val="auto"/>
                <w:spacing w:val="0"/>
                <w:w w:val="100"/>
                <w:kern w:val="21"/>
                <w:position w:val="0"/>
                <w:sz w:val="21"/>
                <w:szCs w:val="21"/>
                <w:u w:val="none"/>
              </w:rPr>
              <w:t>202</w:t>
            </w:r>
            <w:r>
              <w:rPr>
                <w:rFonts w:hint="default" w:ascii="Times New Roman" w:hAnsi="Times New Roman" w:eastAsia="仿宋_GB2312" w:cs="Times New Roman"/>
                <w:b/>
                <w:bCs/>
                <w:color w:val="auto"/>
                <w:spacing w:val="0"/>
                <w:w w:val="100"/>
                <w:kern w:val="21"/>
                <w:position w:val="0"/>
                <w:sz w:val="21"/>
                <w:szCs w:val="21"/>
                <w:u w:val="none"/>
                <w:lang w:val="en-US" w:eastAsia="zh-CN"/>
              </w:rPr>
              <w:t>5</w:t>
            </w:r>
            <w:r>
              <w:rPr>
                <w:rFonts w:hint="default" w:ascii="Times New Roman" w:hAnsi="Times New Roman" w:eastAsia="仿宋_GB2312" w:cs="Times New Roman"/>
                <w:b/>
                <w:bCs/>
                <w:color w:val="auto"/>
                <w:spacing w:val="0"/>
                <w:w w:val="100"/>
                <w:kern w:val="21"/>
                <w:position w:val="0"/>
                <w:sz w:val="21"/>
                <w:szCs w:val="21"/>
                <w:u w:val="none"/>
              </w:rPr>
              <w:t>年</w:t>
            </w:r>
          </w:p>
        </w:tc>
        <w:tc>
          <w:tcPr>
            <w:tcW w:w="583" w:type="pct"/>
            <w:tcBorders>
              <w:top w:val="single" w:color="231F20" w:sz="6" w:space="0"/>
            </w:tcBorders>
            <w:vAlign w:val="center"/>
          </w:tcPr>
          <w:p w14:paraId="05B9067E">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b/>
                <w:bCs/>
                <w:color w:val="auto"/>
                <w:spacing w:val="0"/>
                <w:w w:val="100"/>
                <w:kern w:val="21"/>
                <w:position w:val="0"/>
                <w:sz w:val="21"/>
                <w:szCs w:val="21"/>
                <w:u w:val="none"/>
              </w:rPr>
            </w:pPr>
            <w:r>
              <w:rPr>
                <w:rFonts w:hint="default" w:ascii="Times New Roman" w:hAnsi="Times New Roman" w:eastAsia="仿宋_GB2312" w:cs="Times New Roman"/>
                <w:b/>
                <w:bCs/>
                <w:color w:val="auto"/>
                <w:spacing w:val="0"/>
                <w:w w:val="100"/>
                <w:kern w:val="21"/>
                <w:position w:val="0"/>
                <w:sz w:val="21"/>
                <w:szCs w:val="21"/>
                <w:u w:val="none"/>
              </w:rPr>
              <w:t>20</w:t>
            </w:r>
            <w:r>
              <w:rPr>
                <w:rFonts w:hint="default" w:ascii="Times New Roman" w:hAnsi="Times New Roman" w:eastAsia="仿宋_GB2312" w:cs="Times New Roman"/>
                <w:b/>
                <w:bCs/>
                <w:color w:val="auto"/>
                <w:spacing w:val="0"/>
                <w:w w:val="100"/>
                <w:kern w:val="21"/>
                <w:position w:val="0"/>
                <w:sz w:val="21"/>
                <w:szCs w:val="21"/>
                <w:u w:val="none"/>
                <w:lang w:val="en-US" w:eastAsia="zh-CN"/>
              </w:rPr>
              <w:t>30</w:t>
            </w:r>
            <w:r>
              <w:rPr>
                <w:rFonts w:hint="default" w:ascii="Times New Roman" w:hAnsi="Times New Roman" w:eastAsia="仿宋_GB2312" w:cs="Times New Roman"/>
                <w:b/>
                <w:bCs/>
                <w:color w:val="auto"/>
                <w:spacing w:val="0"/>
                <w:w w:val="100"/>
                <w:kern w:val="21"/>
                <w:position w:val="0"/>
                <w:sz w:val="21"/>
                <w:szCs w:val="21"/>
                <w:u w:val="none"/>
              </w:rPr>
              <w:t>年</w:t>
            </w:r>
          </w:p>
        </w:tc>
        <w:tc>
          <w:tcPr>
            <w:tcW w:w="723" w:type="pct"/>
            <w:tcBorders>
              <w:top w:val="single" w:color="231F20" w:sz="6" w:space="0"/>
            </w:tcBorders>
            <w:vAlign w:val="center"/>
          </w:tcPr>
          <w:p w14:paraId="0B62C879">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b/>
                <w:bCs/>
                <w:color w:val="auto"/>
                <w:spacing w:val="0"/>
                <w:w w:val="100"/>
                <w:kern w:val="21"/>
                <w:position w:val="0"/>
                <w:sz w:val="21"/>
                <w:szCs w:val="21"/>
                <w:u w:val="none"/>
              </w:rPr>
            </w:pPr>
            <w:r>
              <w:rPr>
                <w:rFonts w:hint="default" w:ascii="Times New Roman" w:hAnsi="Times New Roman" w:eastAsia="仿宋_GB2312" w:cs="Times New Roman"/>
                <w:b/>
                <w:bCs/>
                <w:color w:val="auto"/>
                <w:spacing w:val="0"/>
                <w:w w:val="100"/>
                <w:kern w:val="21"/>
                <w:position w:val="0"/>
                <w:sz w:val="21"/>
                <w:szCs w:val="21"/>
                <w:u w:val="none"/>
              </w:rPr>
              <w:t>年均增速/</w:t>
            </w:r>
          </w:p>
          <w:p w14:paraId="68CDBB7A">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b/>
                <w:bCs/>
                <w:color w:val="auto"/>
                <w:spacing w:val="0"/>
                <w:w w:val="100"/>
                <w:kern w:val="21"/>
                <w:position w:val="0"/>
                <w:sz w:val="21"/>
                <w:szCs w:val="21"/>
                <w:u w:val="none"/>
                <w:lang w:eastAsia="zh-CN"/>
              </w:rPr>
            </w:pPr>
            <w:r>
              <w:rPr>
                <w:rFonts w:hint="default" w:ascii="Times New Roman" w:hAnsi="Times New Roman" w:eastAsia="仿宋_GB2312" w:cs="Times New Roman"/>
                <w:b/>
                <w:bCs/>
                <w:color w:val="auto"/>
                <w:spacing w:val="0"/>
                <w:w w:val="100"/>
                <w:kern w:val="21"/>
                <w:position w:val="0"/>
                <w:sz w:val="21"/>
                <w:szCs w:val="21"/>
                <w:u w:val="none"/>
                <w:lang w:val="en-US" w:eastAsia="zh-CN"/>
              </w:rPr>
              <w:t>[</w:t>
            </w:r>
            <w:r>
              <w:rPr>
                <w:rFonts w:hint="default" w:ascii="Times New Roman" w:hAnsi="Times New Roman" w:eastAsia="仿宋_GB2312" w:cs="Times New Roman"/>
                <w:b/>
                <w:bCs/>
                <w:color w:val="auto"/>
                <w:spacing w:val="0"/>
                <w:w w:val="100"/>
                <w:kern w:val="21"/>
                <w:position w:val="0"/>
                <w:sz w:val="21"/>
                <w:szCs w:val="21"/>
                <w:u w:val="none"/>
              </w:rPr>
              <w:t>累计</w:t>
            </w:r>
            <w:r>
              <w:rPr>
                <w:rFonts w:hint="default" w:ascii="Times New Roman" w:hAnsi="Times New Roman" w:eastAsia="仿宋_GB2312" w:cs="Times New Roman"/>
                <w:b/>
                <w:bCs/>
                <w:color w:val="auto"/>
                <w:spacing w:val="0"/>
                <w:w w:val="100"/>
                <w:kern w:val="21"/>
                <w:position w:val="0"/>
                <w:sz w:val="21"/>
                <w:szCs w:val="21"/>
                <w:u w:val="none"/>
                <w:lang w:val="en-US" w:eastAsia="zh-CN"/>
              </w:rPr>
              <w:t>]</w:t>
            </w:r>
          </w:p>
        </w:tc>
        <w:tc>
          <w:tcPr>
            <w:tcW w:w="536" w:type="pct"/>
            <w:tcBorders>
              <w:top w:val="single" w:color="231F20" w:sz="6" w:space="0"/>
              <w:right w:val="single" w:color="231F20" w:sz="6" w:space="0"/>
            </w:tcBorders>
            <w:vAlign w:val="center"/>
          </w:tcPr>
          <w:p w14:paraId="7506B67C">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b/>
                <w:bCs/>
                <w:color w:val="auto"/>
                <w:spacing w:val="0"/>
                <w:w w:val="100"/>
                <w:kern w:val="21"/>
                <w:position w:val="0"/>
                <w:sz w:val="21"/>
                <w:szCs w:val="21"/>
                <w:u w:val="none"/>
              </w:rPr>
            </w:pPr>
            <w:r>
              <w:rPr>
                <w:rFonts w:hint="default" w:ascii="Times New Roman" w:hAnsi="Times New Roman" w:eastAsia="仿宋_GB2312" w:cs="Times New Roman"/>
                <w:b/>
                <w:bCs/>
                <w:color w:val="auto"/>
                <w:spacing w:val="0"/>
                <w:w w:val="100"/>
                <w:kern w:val="21"/>
                <w:position w:val="0"/>
                <w:sz w:val="21"/>
                <w:szCs w:val="21"/>
                <w:u w:val="none"/>
              </w:rPr>
              <w:t>属性</w:t>
            </w:r>
          </w:p>
        </w:tc>
      </w:tr>
      <w:tr w14:paraId="0C5C7B5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5000" w:type="pct"/>
            <w:gridSpan w:val="6"/>
            <w:tcBorders>
              <w:left w:val="single" w:color="231F20" w:sz="6" w:space="0"/>
              <w:right w:val="single" w:color="231F20" w:sz="6" w:space="0"/>
            </w:tcBorders>
            <w:vAlign w:val="center"/>
          </w:tcPr>
          <w:p w14:paraId="3ACBB482">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left"/>
              <w:textAlignment w:val="auto"/>
              <w:rPr>
                <w:rFonts w:hint="default" w:ascii="Times New Roman" w:hAnsi="Times New Roman" w:eastAsia="仿宋_GB2312" w:cs="Times New Roman"/>
                <w:b/>
                <w:bCs/>
                <w:color w:val="auto"/>
                <w:spacing w:val="0"/>
                <w:w w:val="100"/>
                <w:kern w:val="21"/>
                <w:position w:val="0"/>
                <w:sz w:val="21"/>
                <w:szCs w:val="21"/>
                <w:u w:val="none"/>
              </w:rPr>
            </w:pPr>
            <w:r>
              <w:rPr>
                <w:rFonts w:hint="default" w:ascii="Times New Roman" w:hAnsi="Times New Roman" w:eastAsia="仿宋_GB2312" w:cs="Times New Roman"/>
                <w:b/>
                <w:bCs/>
                <w:color w:val="auto"/>
                <w:spacing w:val="0"/>
                <w:w w:val="100"/>
                <w:kern w:val="21"/>
                <w:position w:val="0"/>
                <w:sz w:val="21"/>
                <w:szCs w:val="21"/>
                <w:u w:val="none"/>
              </w:rPr>
              <w:t>经济发展</w:t>
            </w:r>
          </w:p>
        </w:tc>
      </w:tr>
      <w:tr w14:paraId="2F94850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2489" w:type="pct"/>
            <w:gridSpan w:val="2"/>
            <w:tcBorders>
              <w:left w:val="single" w:color="231F20" w:sz="6" w:space="0"/>
            </w:tcBorders>
            <w:shd w:val="clear" w:color="auto" w:fill="auto"/>
            <w:vAlign w:val="center"/>
          </w:tcPr>
          <w:p w14:paraId="3F5981D1">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lang w:eastAsia="zh-CN"/>
              </w:rPr>
              <w:t>（1）</w:t>
            </w:r>
            <w:r>
              <w:rPr>
                <w:rFonts w:hint="default" w:ascii="Times New Roman" w:hAnsi="Times New Roman" w:eastAsia="仿宋_GB2312" w:cs="Times New Roman"/>
                <w:color w:val="auto"/>
                <w:spacing w:val="0"/>
                <w:w w:val="100"/>
                <w:kern w:val="21"/>
                <w:position w:val="0"/>
                <w:sz w:val="21"/>
                <w:szCs w:val="21"/>
                <w:highlight w:val="none"/>
                <w:u w:val="none"/>
              </w:rPr>
              <w:t>地区生产总值</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GDP</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rPr>
              <w:t>增速</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rPr>
              <w:t>％</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p>
        </w:tc>
        <w:tc>
          <w:tcPr>
            <w:tcW w:w="667" w:type="pct"/>
            <w:shd w:val="clear" w:color="auto" w:fill="auto"/>
            <w:vAlign w:val="center"/>
          </w:tcPr>
          <w:p w14:paraId="57254D4C">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lang w:val="en-US" w:eastAsia="zh-CN"/>
              </w:rPr>
            </w:pPr>
            <w:r>
              <w:rPr>
                <w:rFonts w:hint="eastAsia" w:ascii="Times New Roman" w:hAnsi="Times New Roman" w:cs="Times New Roman"/>
                <w:color w:val="auto"/>
                <w:spacing w:val="0"/>
                <w:w w:val="100"/>
                <w:kern w:val="21"/>
                <w:position w:val="0"/>
                <w:sz w:val="21"/>
                <w:szCs w:val="21"/>
                <w:highlight w:val="none"/>
                <w:u w:val="none"/>
                <w:lang w:val="en-US" w:eastAsia="zh-CN"/>
              </w:rPr>
              <w:t>年均6.3</w:t>
            </w:r>
          </w:p>
        </w:tc>
        <w:tc>
          <w:tcPr>
            <w:tcW w:w="583" w:type="pct"/>
            <w:shd w:val="clear" w:color="auto" w:fill="auto"/>
            <w:vAlign w:val="center"/>
          </w:tcPr>
          <w:p w14:paraId="30CEDB03">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rPr>
            </w:pPr>
            <w:r>
              <w:rPr>
                <w:rStyle w:val="21"/>
                <w:rFonts w:hint="default" w:ascii="Times New Roman" w:hAnsi="Times New Roman" w:cs="Times New Roman"/>
                <w:i w:val="0"/>
                <w:iCs w:val="0"/>
                <w:color w:val="000000"/>
                <w:highlight w:val="none"/>
                <w:lang w:val="en-US" w:eastAsia="zh-CN" w:bidi="ar"/>
              </w:rPr>
              <w:t>—</w:t>
            </w:r>
          </w:p>
        </w:tc>
        <w:tc>
          <w:tcPr>
            <w:tcW w:w="723" w:type="pct"/>
            <w:shd w:val="clear" w:color="auto" w:fill="auto"/>
            <w:vAlign w:val="center"/>
          </w:tcPr>
          <w:p w14:paraId="2A317150">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Fonts w:hint="eastAsia" w:ascii="仿宋_GB2312" w:hAnsi="仿宋_GB2312" w:eastAsia="仿宋_GB2312" w:cs="仿宋_GB2312"/>
                <w:color w:val="auto"/>
                <w:spacing w:val="0"/>
                <w:w w:val="100"/>
                <w:kern w:val="21"/>
                <w:position w:val="0"/>
                <w:sz w:val="21"/>
                <w:szCs w:val="21"/>
                <w:highlight w:val="none"/>
                <w:u w:val="none"/>
                <w:lang w:val="en-US" w:eastAsia="zh-CN"/>
              </w:rPr>
            </w:pPr>
            <w:r>
              <w:rPr>
                <w:rStyle w:val="22"/>
                <w:rFonts w:hint="default" w:ascii="Times New Roman" w:hAnsi="Times New Roman" w:eastAsia="仿宋_GB2312" w:cs="Times New Roman"/>
                <w:highlight w:val="none"/>
                <w:lang w:val="en-US" w:eastAsia="zh-CN" w:bidi="ar"/>
              </w:rPr>
              <w:t>5.5</w:t>
            </w:r>
            <w:r>
              <w:rPr>
                <w:rStyle w:val="22"/>
                <w:rFonts w:hint="eastAsia" w:ascii="仿宋_GB2312" w:hAnsi="仿宋_GB2312" w:eastAsia="仿宋_GB2312" w:cs="仿宋_GB2312"/>
                <w:highlight w:val="none"/>
                <w:lang w:val="en-US" w:eastAsia="zh-CN" w:bidi="ar"/>
              </w:rPr>
              <w:t>左右</w:t>
            </w:r>
          </w:p>
        </w:tc>
        <w:tc>
          <w:tcPr>
            <w:tcW w:w="536" w:type="pct"/>
            <w:tcBorders>
              <w:right w:val="single" w:color="231F20" w:sz="6" w:space="0"/>
            </w:tcBorders>
            <w:shd w:val="clear" w:color="auto" w:fill="auto"/>
            <w:vAlign w:val="center"/>
          </w:tcPr>
          <w:p w14:paraId="7C7D02B7">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rPr>
              <w:t>预期性</w:t>
            </w:r>
          </w:p>
        </w:tc>
      </w:tr>
      <w:tr w14:paraId="09F6DE8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2489" w:type="pct"/>
            <w:gridSpan w:val="2"/>
            <w:tcBorders>
              <w:left w:val="single" w:color="231F20" w:sz="6" w:space="0"/>
            </w:tcBorders>
            <w:shd w:val="clear" w:color="auto" w:fill="auto"/>
            <w:vAlign w:val="center"/>
          </w:tcPr>
          <w:p w14:paraId="65991B74">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lang w:eastAsia="zh-CN"/>
              </w:rPr>
              <w:t>（2）</w:t>
            </w:r>
            <w:r>
              <w:rPr>
                <w:rFonts w:hint="default" w:ascii="Times New Roman" w:hAnsi="Times New Roman" w:eastAsia="仿宋_GB2312" w:cs="Times New Roman"/>
                <w:color w:val="auto"/>
                <w:spacing w:val="0"/>
                <w:w w:val="100"/>
                <w:kern w:val="21"/>
                <w:position w:val="0"/>
                <w:sz w:val="21"/>
                <w:szCs w:val="21"/>
                <w:u w:val="none"/>
              </w:rPr>
              <w:t>全员劳动生产率增速</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w:t>
            </w:r>
            <w:r>
              <w:rPr>
                <w:rFonts w:hint="default" w:ascii="Times New Roman" w:hAnsi="Times New Roman" w:eastAsia="仿宋_GB2312" w:cs="Times New Roman"/>
                <w:color w:val="auto"/>
                <w:spacing w:val="0"/>
                <w:w w:val="100"/>
                <w:kern w:val="21"/>
                <w:position w:val="0"/>
                <w:sz w:val="21"/>
                <w:szCs w:val="21"/>
                <w:u w:val="none"/>
                <w:lang w:eastAsia="zh-CN"/>
              </w:rPr>
              <w:t>）</w:t>
            </w:r>
          </w:p>
        </w:tc>
        <w:tc>
          <w:tcPr>
            <w:tcW w:w="667" w:type="pct"/>
            <w:shd w:val="clear" w:color="auto" w:fill="auto"/>
            <w:vAlign w:val="center"/>
          </w:tcPr>
          <w:p w14:paraId="1357A4D0">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Style w:val="21"/>
                <w:rFonts w:hint="default" w:ascii="Times New Roman" w:hAnsi="Times New Roman" w:cs="Times New Roman"/>
                <w:i w:val="0"/>
                <w:iCs w:val="0"/>
                <w:color w:val="000000"/>
                <w:lang w:val="en-US" w:eastAsia="zh-CN" w:bidi="ar"/>
              </w:rPr>
            </w:pPr>
            <w:r>
              <w:rPr>
                <w:rStyle w:val="21"/>
                <w:rFonts w:hint="default" w:ascii="Times New Roman" w:hAnsi="Times New Roman" w:cs="Times New Roman"/>
                <w:i w:val="0"/>
                <w:iCs w:val="0"/>
                <w:color w:val="000000"/>
                <w:lang w:val="en-US" w:eastAsia="zh-CN" w:bidi="ar"/>
              </w:rPr>
              <w:t>—</w:t>
            </w:r>
          </w:p>
        </w:tc>
        <w:tc>
          <w:tcPr>
            <w:tcW w:w="583" w:type="pct"/>
            <w:shd w:val="clear" w:color="auto" w:fill="auto"/>
            <w:vAlign w:val="center"/>
          </w:tcPr>
          <w:p w14:paraId="40DDEFF4">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Style w:val="21"/>
                <w:rFonts w:hint="default" w:ascii="Times New Roman" w:hAnsi="Times New Roman" w:cs="Times New Roman"/>
                <w:i w:val="0"/>
                <w:iCs w:val="0"/>
                <w:color w:val="000000"/>
                <w:lang w:val="en-US" w:eastAsia="zh-CN" w:bidi="ar"/>
              </w:rPr>
            </w:pPr>
            <w:r>
              <w:rPr>
                <w:rStyle w:val="21"/>
                <w:rFonts w:hint="default" w:ascii="Times New Roman" w:hAnsi="Times New Roman" w:cs="Times New Roman"/>
                <w:i w:val="0"/>
                <w:iCs w:val="0"/>
                <w:color w:val="000000"/>
                <w:lang w:val="en-US" w:eastAsia="zh-CN" w:bidi="ar"/>
              </w:rPr>
              <w:t>—</w:t>
            </w:r>
          </w:p>
        </w:tc>
        <w:tc>
          <w:tcPr>
            <w:tcW w:w="723" w:type="pct"/>
            <w:shd w:val="clear" w:color="auto" w:fill="auto"/>
            <w:vAlign w:val="center"/>
          </w:tcPr>
          <w:p w14:paraId="337E1808">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Style w:val="21"/>
                <w:rFonts w:hint="eastAsia" w:ascii="仿宋_GB2312" w:hAnsi="仿宋_GB2312" w:eastAsia="仿宋_GB2312" w:cs="仿宋_GB2312"/>
                <w:i w:val="0"/>
                <w:iCs w:val="0"/>
                <w:color w:val="000000"/>
                <w:lang w:val="en-US" w:eastAsia="zh-CN" w:bidi="ar"/>
              </w:rPr>
            </w:pPr>
            <w:r>
              <w:rPr>
                <w:rStyle w:val="21"/>
                <w:rFonts w:hint="eastAsia" w:ascii="仿宋_GB2312" w:hAnsi="仿宋_GB2312" w:eastAsia="仿宋_GB2312" w:cs="仿宋_GB2312"/>
                <w:i w:val="0"/>
                <w:iCs w:val="0"/>
                <w:color w:val="000000"/>
                <w:spacing w:val="-20"/>
                <w:sz w:val="21"/>
                <w:lang w:val="en-US" w:eastAsia="zh-CN" w:bidi="ar"/>
              </w:rPr>
              <w:t>高于</w:t>
            </w:r>
            <w:r>
              <w:rPr>
                <w:rStyle w:val="21"/>
                <w:rFonts w:hint="default" w:ascii="Times New Roman" w:hAnsi="Times New Roman" w:eastAsia="仿宋_GB2312" w:cs="Times New Roman"/>
                <w:i w:val="0"/>
                <w:iCs w:val="0"/>
                <w:color w:val="000000"/>
                <w:spacing w:val="-20"/>
                <w:sz w:val="21"/>
                <w:lang w:val="en-US" w:eastAsia="zh-CN" w:bidi="ar"/>
              </w:rPr>
              <w:t>GDP</w:t>
            </w:r>
            <w:r>
              <w:rPr>
                <w:rStyle w:val="21"/>
                <w:rFonts w:hint="eastAsia" w:ascii="仿宋_GB2312" w:hAnsi="仿宋_GB2312" w:eastAsia="仿宋_GB2312" w:cs="仿宋_GB2312"/>
                <w:i w:val="0"/>
                <w:iCs w:val="0"/>
                <w:color w:val="000000"/>
                <w:spacing w:val="-20"/>
                <w:sz w:val="21"/>
                <w:lang w:val="en-US" w:eastAsia="zh-CN" w:bidi="ar"/>
              </w:rPr>
              <w:t>增长</w:t>
            </w:r>
          </w:p>
        </w:tc>
        <w:tc>
          <w:tcPr>
            <w:tcW w:w="536" w:type="pct"/>
            <w:tcBorders>
              <w:right w:val="single" w:color="231F20" w:sz="6" w:space="0"/>
            </w:tcBorders>
            <w:shd w:val="clear" w:color="auto" w:fill="auto"/>
            <w:vAlign w:val="center"/>
          </w:tcPr>
          <w:p w14:paraId="6E727FEB">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预期性</w:t>
            </w:r>
          </w:p>
        </w:tc>
      </w:tr>
      <w:tr w14:paraId="52F6C96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2489" w:type="pct"/>
            <w:gridSpan w:val="2"/>
            <w:tcBorders>
              <w:left w:val="single" w:color="231F20" w:sz="6" w:space="0"/>
            </w:tcBorders>
            <w:shd w:val="clear" w:color="auto" w:fill="auto"/>
            <w:vAlign w:val="center"/>
          </w:tcPr>
          <w:p w14:paraId="68E28E55">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lang w:eastAsia="zh-CN"/>
              </w:rPr>
              <w:t>（3）</w:t>
            </w:r>
            <w:r>
              <w:rPr>
                <w:rFonts w:hint="default" w:ascii="Times New Roman" w:hAnsi="Times New Roman" w:eastAsia="仿宋_GB2312" w:cs="Times New Roman"/>
                <w:color w:val="auto"/>
                <w:spacing w:val="0"/>
                <w:w w:val="100"/>
                <w:kern w:val="21"/>
                <w:position w:val="0"/>
                <w:sz w:val="21"/>
                <w:szCs w:val="21"/>
                <w:highlight w:val="none"/>
                <w:u w:val="none"/>
              </w:rPr>
              <w:t>常住人口城镇化率</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rPr>
              <w:t>％</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p>
        </w:tc>
        <w:tc>
          <w:tcPr>
            <w:tcW w:w="667" w:type="pct"/>
            <w:shd w:val="clear" w:color="auto" w:fill="auto"/>
            <w:vAlign w:val="center"/>
          </w:tcPr>
          <w:p w14:paraId="12E4893E">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Style w:val="21"/>
                <w:rFonts w:hint="default" w:ascii="Times New Roman" w:hAnsi="Times New Roman" w:cs="Times New Roman"/>
                <w:i w:val="0"/>
                <w:iCs w:val="0"/>
                <w:color w:val="000000"/>
                <w:highlight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76.43</w:t>
            </w:r>
          </w:p>
        </w:tc>
        <w:tc>
          <w:tcPr>
            <w:tcW w:w="583" w:type="pct"/>
            <w:shd w:val="clear" w:color="auto" w:fill="auto"/>
            <w:vAlign w:val="center"/>
          </w:tcPr>
          <w:p w14:paraId="41A04859">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Style w:val="21"/>
                <w:rFonts w:hint="default" w:ascii="Times New Roman" w:hAnsi="Times New Roman" w:cs="Times New Roman"/>
                <w:i w:val="0"/>
                <w:iCs w:val="0"/>
                <w:color w:val="000000"/>
                <w:highlight w:val="none"/>
                <w:lang w:val="en-US" w:eastAsia="zh-CN" w:bidi="ar"/>
              </w:rPr>
            </w:pPr>
            <w:r>
              <w:rPr>
                <w:rStyle w:val="21"/>
                <w:rFonts w:hint="default" w:ascii="Times New Roman" w:hAnsi="Times New Roman" w:cs="Times New Roman"/>
                <w:i w:val="0"/>
                <w:iCs w:val="0"/>
                <w:color w:val="000000"/>
                <w:highlight w:val="none"/>
                <w:lang w:val="en-US" w:eastAsia="zh-CN" w:bidi="ar"/>
              </w:rPr>
              <w:t>7</w:t>
            </w:r>
            <w:r>
              <w:rPr>
                <w:rStyle w:val="21"/>
                <w:rFonts w:hint="eastAsia" w:ascii="Times New Roman" w:hAnsi="Times New Roman" w:cs="Times New Roman"/>
                <w:i w:val="0"/>
                <w:iCs w:val="0"/>
                <w:color w:val="000000"/>
                <w:highlight w:val="none"/>
                <w:lang w:val="en-US" w:eastAsia="zh-CN" w:bidi="ar"/>
              </w:rPr>
              <w:t>8</w:t>
            </w:r>
            <w:r>
              <w:rPr>
                <w:rStyle w:val="21"/>
                <w:rFonts w:hint="default" w:ascii="Times New Roman" w:hAnsi="Times New Roman" w:cs="Times New Roman"/>
                <w:i w:val="0"/>
                <w:iCs w:val="0"/>
                <w:color w:val="000000"/>
                <w:highlight w:val="none"/>
                <w:lang w:val="en-US" w:eastAsia="zh-CN" w:bidi="ar"/>
              </w:rPr>
              <w:t>左右</w:t>
            </w:r>
          </w:p>
        </w:tc>
        <w:tc>
          <w:tcPr>
            <w:tcW w:w="723" w:type="pct"/>
            <w:shd w:val="clear" w:color="auto" w:fill="auto"/>
            <w:vAlign w:val="center"/>
          </w:tcPr>
          <w:p w14:paraId="6621E47E">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Style w:val="21"/>
                <w:rFonts w:hint="default" w:ascii="Times New Roman" w:hAnsi="Times New Roman" w:cs="Times New Roman"/>
                <w:i w:val="0"/>
                <w:iCs w:val="0"/>
                <w:color w:val="000000"/>
                <w:highlight w:val="none"/>
                <w:lang w:val="en-US" w:eastAsia="zh-CN" w:bidi="ar"/>
              </w:rPr>
            </w:pPr>
            <w:r>
              <w:rPr>
                <w:rStyle w:val="21"/>
                <w:rFonts w:hint="default" w:ascii="Times New Roman" w:hAnsi="Times New Roman" w:cs="Times New Roman"/>
                <w:i w:val="0"/>
                <w:iCs w:val="0"/>
                <w:color w:val="000000"/>
                <w:highlight w:val="none"/>
                <w:lang w:val="en-US" w:eastAsia="zh-CN" w:bidi="ar"/>
              </w:rPr>
              <w:t>—</w:t>
            </w:r>
          </w:p>
        </w:tc>
        <w:tc>
          <w:tcPr>
            <w:tcW w:w="536" w:type="pct"/>
            <w:tcBorders>
              <w:right w:val="single" w:color="231F20" w:sz="6" w:space="0"/>
            </w:tcBorders>
            <w:shd w:val="clear" w:color="auto" w:fill="auto"/>
            <w:vAlign w:val="center"/>
          </w:tcPr>
          <w:p w14:paraId="3377EE49">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rPr>
              <w:t>预期性</w:t>
            </w:r>
          </w:p>
        </w:tc>
      </w:tr>
      <w:tr w14:paraId="4A26A4F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5000" w:type="pct"/>
            <w:gridSpan w:val="6"/>
            <w:tcBorders>
              <w:left w:val="single" w:color="231F20" w:sz="6" w:space="0"/>
              <w:right w:val="single" w:color="231F20" w:sz="6" w:space="0"/>
            </w:tcBorders>
            <w:shd w:val="clear" w:color="auto" w:fill="auto"/>
            <w:vAlign w:val="center"/>
          </w:tcPr>
          <w:p w14:paraId="1FCA7BD9">
            <w:pPr>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left"/>
              <w:textAlignment w:val="auto"/>
            </w:pPr>
            <w:r>
              <w:rPr>
                <w:rFonts w:hint="default" w:ascii="Times New Roman" w:hAnsi="Times New Roman" w:eastAsia="仿宋_GB2312" w:cs="Times New Roman"/>
                <w:b/>
                <w:bCs/>
                <w:color w:val="auto"/>
                <w:spacing w:val="0"/>
                <w:w w:val="100"/>
                <w:kern w:val="21"/>
                <w:position w:val="0"/>
                <w:sz w:val="21"/>
                <w:szCs w:val="21"/>
                <w:u w:val="none"/>
              </w:rPr>
              <w:t>创新驱动</w:t>
            </w:r>
          </w:p>
        </w:tc>
      </w:tr>
      <w:tr w14:paraId="3056556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2489" w:type="pct"/>
            <w:gridSpan w:val="2"/>
            <w:tcBorders>
              <w:left w:val="single" w:color="231F20" w:sz="6" w:space="0"/>
            </w:tcBorders>
            <w:shd w:val="clear" w:color="auto" w:fill="auto"/>
            <w:vAlign w:val="center"/>
          </w:tcPr>
          <w:p w14:paraId="43E2BEF8">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4</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rPr>
              <w:t>全社会</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研发</w:t>
            </w:r>
            <w:r>
              <w:rPr>
                <w:rFonts w:hint="default" w:ascii="Times New Roman" w:hAnsi="Times New Roman" w:eastAsia="仿宋_GB2312" w:cs="Times New Roman"/>
                <w:color w:val="auto"/>
                <w:spacing w:val="0"/>
                <w:w w:val="100"/>
                <w:kern w:val="21"/>
                <w:position w:val="0"/>
                <w:sz w:val="21"/>
                <w:szCs w:val="21"/>
                <w:highlight w:val="none"/>
                <w:u w:val="none"/>
              </w:rPr>
              <w:t>经费</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投入增长</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rPr>
              <w:t>％</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p>
        </w:tc>
        <w:tc>
          <w:tcPr>
            <w:tcW w:w="667" w:type="pct"/>
            <w:shd w:val="clear" w:color="auto" w:fill="auto"/>
            <w:vAlign w:val="center"/>
          </w:tcPr>
          <w:p w14:paraId="317DC559">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10</w:t>
            </w:r>
            <w:r>
              <w:rPr>
                <w:rStyle w:val="21"/>
                <w:rFonts w:hint="default" w:ascii="仿宋_GB2312" w:hAnsi="仿宋_GB2312" w:eastAsia="仿宋_GB2312" w:cs="仿宋_GB2312"/>
                <w:i w:val="0"/>
                <w:iCs w:val="0"/>
                <w:color w:val="000000"/>
                <w:spacing w:val="-20"/>
                <w:sz w:val="21"/>
                <w:highlight w:val="none"/>
                <w:lang w:val="en-US" w:eastAsia="zh-CN" w:bidi="ar"/>
              </w:rPr>
              <w:t>左右</w:t>
            </w:r>
          </w:p>
        </w:tc>
        <w:tc>
          <w:tcPr>
            <w:tcW w:w="583" w:type="pct"/>
            <w:shd w:val="clear" w:color="auto" w:fill="auto"/>
            <w:vAlign w:val="center"/>
          </w:tcPr>
          <w:p w14:paraId="25E0CF09">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723" w:type="pct"/>
            <w:shd w:val="clear" w:color="auto" w:fill="auto"/>
            <w:vAlign w:val="center"/>
          </w:tcPr>
          <w:p w14:paraId="29A5F08C">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Style w:val="21"/>
                <w:rFonts w:hint="eastAsia" w:ascii="仿宋_GB2312" w:hAnsi="仿宋_GB2312" w:eastAsia="仿宋_GB2312" w:cs="仿宋_GB2312"/>
                <w:i w:val="0"/>
                <w:iCs w:val="0"/>
                <w:color w:val="000000"/>
                <w:spacing w:val="-20"/>
                <w:sz w:val="21"/>
                <w:highlight w:val="none"/>
                <w:lang w:val="en-US" w:eastAsia="zh-CN" w:bidi="ar"/>
              </w:rPr>
            </w:pPr>
            <w:r>
              <w:rPr>
                <w:rStyle w:val="21"/>
                <w:rFonts w:hint="eastAsia" w:ascii="仿宋_GB2312" w:hAnsi="仿宋_GB2312" w:eastAsia="仿宋_GB2312" w:cs="仿宋_GB2312"/>
                <w:i w:val="0"/>
                <w:iCs w:val="0"/>
                <w:color w:val="000000"/>
                <w:spacing w:val="-20"/>
                <w:sz w:val="21"/>
                <w:highlight w:val="none"/>
                <w:lang w:val="en-US" w:eastAsia="zh-CN" w:bidi="ar"/>
              </w:rPr>
              <w:t>全市平均</w:t>
            </w:r>
          </w:p>
          <w:p w14:paraId="1EFC900A">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lang w:val="en-US" w:eastAsia="zh-CN"/>
              </w:rPr>
            </w:pPr>
            <w:r>
              <w:rPr>
                <w:rStyle w:val="21"/>
                <w:rFonts w:hint="eastAsia" w:ascii="仿宋_GB2312" w:hAnsi="仿宋_GB2312" w:eastAsia="仿宋_GB2312" w:cs="仿宋_GB2312"/>
                <w:i w:val="0"/>
                <w:iCs w:val="0"/>
                <w:color w:val="000000"/>
                <w:spacing w:val="-20"/>
                <w:sz w:val="21"/>
                <w:highlight w:val="none"/>
                <w:lang w:val="en-US" w:eastAsia="zh-CN" w:bidi="ar"/>
              </w:rPr>
              <w:t>水平</w:t>
            </w:r>
          </w:p>
        </w:tc>
        <w:tc>
          <w:tcPr>
            <w:tcW w:w="536" w:type="pct"/>
            <w:tcBorders>
              <w:right w:val="single" w:color="231F20" w:sz="6" w:space="0"/>
            </w:tcBorders>
            <w:shd w:val="clear" w:color="auto" w:fill="auto"/>
            <w:vAlign w:val="center"/>
          </w:tcPr>
          <w:p w14:paraId="3AC1B7AA">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rPr>
              <w:t>预期性</w:t>
            </w:r>
          </w:p>
        </w:tc>
      </w:tr>
      <w:tr w14:paraId="1B7239D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2489" w:type="pct"/>
            <w:gridSpan w:val="2"/>
            <w:tcBorders>
              <w:left w:val="single" w:color="231F20" w:sz="6" w:space="0"/>
            </w:tcBorders>
            <w:shd w:val="clear" w:color="auto" w:fill="auto"/>
            <w:vAlign w:val="center"/>
          </w:tcPr>
          <w:p w14:paraId="09030490">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5</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每万人口高价值发明专利拥有量</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件</w:t>
            </w:r>
            <w:r>
              <w:rPr>
                <w:rFonts w:hint="default" w:ascii="Times New Roman" w:hAnsi="Times New Roman" w:eastAsia="仿宋_GB2312" w:cs="Times New Roman"/>
                <w:color w:val="auto"/>
                <w:spacing w:val="0"/>
                <w:w w:val="100"/>
                <w:kern w:val="21"/>
                <w:position w:val="0"/>
                <w:sz w:val="21"/>
                <w:szCs w:val="21"/>
                <w:u w:val="none"/>
                <w:lang w:eastAsia="zh-CN"/>
              </w:rPr>
              <w:t>）</w:t>
            </w:r>
          </w:p>
        </w:tc>
        <w:tc>
          <w:tcPr>
            <w:tcW w:w="667" w:type="pct"/>
            <w:shd w:val="clear" w:color="auto" w:fill="auto"/>
            <w:vAlign w:val="center"/>
          </w:tcPr>
          <w:p w14:paraId="3CE2E4E1">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2.72</w:t>
            </w:r>
            <w:r>
              <w:rPr>
                <w:rStyle w:val="21"/>
                <w:rFonts w:hint="default" w:ascii="仿宋_GB2312" w:hAnsi="仿宋_GB2312" w:eastAsia="仿宋_GB2312" w:cs="仿宋_GB2312"/>
                <w:i w:val="0"/>
                <w:iCs w:val="0"/>
                <w:color w:val="000000" w:themeColor="text1"/>
                <w:spacing w:val="-20"/>
                <w:sz w:val="21"/>
                <w:lang w:val="en-US" w:eastAsia="zh-CN" w:bidi="ar"/>
                <w14:textFill>
                  <w14:solidFill>
                    <w14:schemeClr w14:val="tx1"/>
                  </w14:solidFill>
                </w14:textFill>
              </w:rPr>
              <w:t>左右</w:t>
            </w:r>
          </w:p>
        </w:tc>
        <w:tc>
          <w:tcPr>
            <w:tcW w:w="583" w:type="pct"/>
            <w:shd w:val="clear" w:color="auto" w:fill="auto"/>
            <w:vAlign w:val="center"/>
          </w:tcPr>
          <w:p w14:paraId="79E5E9EE">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w:t>
            </w:r>
          </w:p>
        </w:tc>
        <w:tc>
          <w:tcPr>
            <w:tcW w:w="723" w:type="pct"/>
            <w:shd w:val="clear" w:color="auto" w:fill="auto"/>
            <w:vAlign w:val="center"/>
          </w:tcPr>
          <w:p w14:paraId="099E6632">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lang w:val="en-US"/>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536" w:type="pct"/>
            <w:tcBorders>
              <w:right w:val="single" w:color="231F20" w:sz="6" w:space="0"/>
            </w:tcBorders>
            <w:shd w:val="clear" w:color="auto" w:fill="auto"/>
            <w:vAlign w:val="center"/>
          </w:tcPr>
          <w:p w14:paraId="141AC4D6">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预期性</w:t>
            </w:r>
          </w:p>
        </w:tc>
      </w:tr>
      <w:tr w14:paraId="0E0F2AA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2489" w:type="pct"/>
            <w:gridSpan w:val="2"/>
            <w:tcBorders>
              <w:left w:val="single" w:color="231F20" w:sz="6" w:space="0"/>
              <w:bottom w:val="single" w:color="231F20" w:sz="6" w:space="0"/>
            </w:tcBorders>
            <w:shd w:val="clear" w:color="auto" w:fill="auto"/>
            <w:vAlign w:val="center"/>
          </w:tcPr>
          <w:p w14:paraId="57ACF1FA">
            <w:pPr>
              <w:pStyle w:val="19"/>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6</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rPr>
              <w:t>数字经济核心产业增加值占</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GDP</w:t>
            </w:r>
            <w:r>
              <w:rPr>
                <w:rFonts w:hint="default" w:ascii="Times New Roman" w:hAnsi="Times New Roman" w:eastAsia="仿宋_GB2312" w:cs="Times New Roman"/>
                <w:color w:val="auto"/>
                <w:spacing w:val="0"/>
                <w:w w:val="100"/>
                <w:kern w:val="21"/>
                <w:position w:val="0"/>
                <w:sz w:val="21"/>
                <w:szCs w:val="21"/>
                <w:highlight w:val="none"/>
                <w:u w:val="none"/>
              </w:rPr>
              <w:t>比重</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rPr>
              <w:t>％</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p>
        </w:tc>
        <w:tc>
          <w:tcPr>
            <w:tcW w:w="667" w:type="pct"/>
            <w:tcBorders>
              <w:bottom w:val="single" w:color="231F20" w:sz="6" w:space="0"/>
            </w:tcBorders>
            <w:shd w:val="clear" w:color="auto" w:fill="auto"/>
            <w:vAlign w:val="center"/>
          </w:tcPr>
          <w:p w14:paraId="06BE9D57">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rPr>
            </w:pPr>
            <w:r>
              <w:rPr>
                <w:rFonts w:hint="eastAsia" w:ascii="Times New Roman" w:hAnsi="Times New Roman" w:cs="Times New Roman"/>
                <w:color w:val="auto"/>
                <w:spacing w:val="0"/>
                <w:w w:val="100"/>
                <w:kern w:val="21"/>
                <w:position w:val="0"/>
                <w:sz w:val="21"/>
                <w:szCs w:val="21"/>
                <w:highlight w:val="none"/>
                <w:u w:val="none"/>
                <w:lang w:val="en-US" w:eastAsia="zh-CN"/>
              </w:rPr>
              <w:t>1.5</w:t>
            </w:r>
          </w:p>
        </w:tc>
        <w:tc>
          <w:tcPr>
            <w:tcW w:w="583" w:type="pct"/>
            <w:tcBorders>
              <w:bottom w:val="single" w:color="231F20" w:sz="6" w:space="0"/>
            </w:tcBorders>
            <w:shd w:val="clear" w:color="auto" w:fill="auto"/>
            <w:vAlign w:val="center"/>
          </w:tcPr>
          <w:p w14:paraId="179E8112">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rPr>
            </w:pPr>
            <w:r>
              <w:rPr>
                <w:rFonts w:hint="eastAsia" w:ascii="Times New Roman" w:hAnsi="Times New Roman" w:eastAsia="宋体" w:cs="Times New Roman"/>
                <w:i w:val="0"/>
                <w:iCs w:val="0"/>
                <w:color w:val="000000"/>
                <w:kern w:val="0"/>
                <w:sz w:val="21"/>
                <w:szCs w:val="21"/>
                <w:highlight w:val="none"/>
                <w:u w:val="none"/>
                <w:lang w:val="en-US" w:eastAsia="zh-CN" w:bidi="ar"/>
              </w:rPr>
              <w:t>3</w:t>
            </w:r>
          </w:p>
        </w:tc>
        <w:tc>
          <w:tcPr>
            <w:tcW w:w="723" w:type="pct"/>
            <w:tcBorders>
              <w:bottom w:val="single" w:color="231F20" w:sz="6" w:space="0"/>
            </w:tcBorders>
            <w:shd w:val="clear" w:color="auto" w:fill="auto"/>
            <w:vAlign w:val="center"/>
          </w:tcPr>
          <w:p w14:paraId="622B6C15">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536" w:type="pct"/>
            <w:tcBorders>
              <w:bottom w:val="single" w:color="231F20" w:sz="6" w:space="0"/>
              <w:right w:val="single" w:color="231F20" w:sz="6" w:space="0"/>
            </w:tcBorders>
            <w:shd w:val="clear" w:color="auto" w:fill="auto"/>
            <w:vAlign w:val="center"/>
          </w:tcPr>
          <w:p w14:paraId="4AEF61BD">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rPr>
              <w:t>预期性</w:t>
            </w:r>
          </w:p>
        </w:tc>
      </w:tr>
      <w:tr w14:paraId="13E563E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5" w:hRule="atLeast"/>
          <w:jc w:val="center"/>
        </w:trPr>
        <w:tc>
          <w:tcPr>
            <w:tcW w:w="5000" w:type="pct"/>
            <w:gridSpan w:val="6"/>
            <w:tcBorders>
              <w:top w:val="single" w:color="231F20" w:sz="6" w:space="0"/>
              <w:left w:val="single" w:color="231F20" w:sz="6" w:space="0"/>
              <w:right w:val="single" w:color="231F20" w:sz="6" w:space="0"/>
            </w:tcBorders>
            <w:shd w:val="clear" w:color="auto" w:fill="auto"/>
            <w:vAlign w:val="center"/>
          </w:tcPr>
          <w:p w14:paraId="75A17AEC">
            <w:pPr>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left"/>
              <w:textAlignment w:val="auto"/>
            </w:pPr>
            <w:r>
              <w:rPr>
                <w:rFonts w:hint="default" w:ascii="Times New Roman" w:hAnsi="Times New Roman" w:eastAsia="仿宋_GB2312" w:cs="Times New Roman"/>
                <w:b/>
                <w:bCs/>
                <w:color w:val="auto"/>
                <w:spacing w:val="0"/>
                <w:w w:val="100"/>
                <w:kern w:val="21"/>
                <w:position w:val="0"/>
                <w:sz w:val="21"/>
                <w:szCs w:val="21"/>
                <w:u w:val="none"/>
              </w:rPr>
              <w:t>民生福祉</w:t>
            </w:r>
          </w:p>
        </w:tc>
      </w:tr>
      <w:tr w14:paraId="4EC7564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2489" w:type="pct"/>
            <w:gridSpan w:val="2"/>
            <w:tcBorders>
              <w:left w:val="single" w:color="231F20" w:sz="6" w:space="0"/>
            </w:tcBorders>
            <w:shd w:val="clear" w:color="auto" w:fill="auto"/>
            <w:vAlign w:val="center"/>
          </w:tcPr>
          <w:p w14:paraId="608C6FC7">
            <w:pPr>
              <w:pStyle w:val="1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lang w:eastAsia="zh-CN"/>
              </w:rPr>
            </w:pP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7</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城镇调查失业率</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w:t>
            </w:r>
            <w:r>
              <w:rPr>
                <w:rFonts w:hint="default" w:ascii="Times New Roman" w:hAnsi="Times New Roman" w:eastAsia="仿宋_GB2312" w:cs="Times New Roman"/>
                <w:color w:val="auto"/>
                <w:spacing w:val="0"/>
                <w:w w:val="100"/>
                <w:kern w:val="21"/>
                <w:position w:val="0"/>
                <w:sz w:val="21"/>
                <w:szCs w:val="21"/>
                <w:u w:val="none"/>
                <w:lang w:eastAsia="zh-CN"/>
              </w:rPr>
              <w:t>）</w:t>
            </w:r>
          </w:p>
        </w:tc>
        <w:tc>
          <w:tcPr>
            <w:tcW w:w="667" w:type="pct"/>
            <w:shd w:val="clear" w:color="auto" w:fill="auto"/>
            <w:vAlign w:val="center"/>
          </w:tcPr>
          <w:p w14:paraId="193739F5">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&lt;5.5</w:t>
            </w:r>
          </w:p>
        </w:tc>
        <w:tc>
          <w:tcPr>
            <w:tcW w:w="583" w:type="pct"/>
            <w:shd w:val="clear" w:color="auto" w:fill="auto"/>
            <w:vAlign w:val="center"/>
          </w:tcPr>
          <w:p w14:paraId="3AFFFCC1">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723" w:type="pct"/>
            <w:shd w:val="clear" w:color="auto" w:fill="auto"/>
            <w:vAlign w:val="center"/>
          </w:tcPr>
          <w:p w14:paraId="5498E74D">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Style w:val="21"/>
                <w:rFonts w:hint="default" w:ascii="Times New Roman" w:hAnsi="Times New Roman" w:cs="Times New Roman"/>
                <w:i w:val="0"/>
                <w:iCs w:val="0"/>
                <w:color w:val="000000"/>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&lt;5.5</w:t>
            </w:r>
          </w:p>
        </w:tc>
        <w:tc>
          <w:tcPr>
            <w:tcW w:w="536" w:type="pct"/>
            <w:tcBorders>
              <w:right w:val="single" w:color="231F20" w:sz="6" w:space="0"/>
            </w:tcBorders>
            <w:shd w:val="clear" w:color="auto" w:fill="auto"/>
            <w:vAlign w:val="center"/>
          </w:tcPr>
          <w:p w14:paraId="02EF4E6D">
            <w:pPr>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预期性</w:t>
            </w:r>
          </w:p>
        </w:tc>
      </w:tr>
      <w:tr w14:paraId="0B9BE3C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02" w:hRule="atLeast"/>
          <w:jc w:val="center"/>
        </w:trPr>
        <w:tc>
          <w:tcPr>
            <w:tcW w:w="2489" w:type="pct"/>
            <w:gridSpan w:val="2"/>
            <w:tcBorders>
              <w:left w:val="single" w:color="231F20" w:sz="6" w:space="0"/>
            </w:tcBorders>
            <w:shd w:val="clear" w:color="auto" w:fill="auto"/>
            <w:vAlign w:val="center"/>
          </w:tcPr>
          <w:p w14:paraId="3159A8A4">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8</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居民人均可支配收入增长</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w:t>
            </w:r>
            <w:r>
              <w:rPr>
                <w:rFonts w:hint="default" w:ascii="Times New Roman" w:hAnsi="Times New Roman" w:eastAsia="仿宋_GB2312" w:cs="Times New Roman"/>
                <w:color w:val="auto"/>
                <w:spacing w:val="0"/>
                <w:w w:val="100"/>
                <w:kern w:val="21"/>
                <w:position w:val="0"/>
                <w:sz w:val="21"/>
                <w:szCs w:val="21"/>
                <w:u w:val="none"/>
                <w:lang w:eastAsia="zh-CN"/>
              </w:rPr>
              <w:t>）</w:t>
            </w:r>
          </w:p>
        </w:tc>
        <w:tc>
          <w:tcPr>
            <w:tcW w:w="667" w:type="pct"/>
            <w:shd w:val="clear" w:color="auto" w:fill="auto"/>
            <w:vAlign w:val="center"/>
          </w:tcPr>
          <w:p w14:paraId="50606F34">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w:t>
            </w:r>
          </w:p>
        </w:tc>
        <w:tc>
          <w:tcPr>
            <w:tcW w:w="583" w:type="pct"/>
            <w:shd w:val="clear" w:color="auto" w:fill="auto"/>
            <w:vAlign w:val="center"/>
          </w:tcPr>
          <w:p w14:paraId="2B8CAB2A">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723" w:type="pct"/>
            <w:shd w:val="clear" w:color="auto" w:fill="auto"/>
            <w:vAlign w:val="center"/>
          </w:tcPr>
          <w:p w14:paraId="3F14D1AB">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Style w:val="21"/>
                <w:rFonts w:hint="default" w:ascii="Times New Roman" w:hAnsi="Times New Roman" w:cs="Times New Roman"/>
                <w:i w:val="0"/>
                <w:iCs w:val="0"/>
                <w:color w:val="000000"/>
                <w:lang w:val="en-US" w:eastAsia="zh-CN" w:bidi="ar"/>
              </w:rPr>
            </w:pPr>
            <w:r>
              <w:rPr>
                <w:rStyle w:val="21"/>
                <w:rFonts w:hint="default" w:ascii="Times New Roman" w:hAnsi="Times New Roman" w:cs="Times New Roman"/>
                <w:i w:val="0"/>
                <w:iCs w:val="0"/>
                <w:color w:val="000000"/>
                <w:lang w:val="en-US" w:eastAsia="zh-CN" w:bidi="ar"/>
              </w:rPr>
              <w:t>与GDP增长</w:t>
            </w:r>
          </w:p>
          <w:p w14:paraId="2EBDB65D">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rPr>
            </w:pPr>
            <w:r>
              <w:rPr>
                <w:rStyle w:val="21"/>
                <w:rFonts w:hint="default" w:ascii="Times New Roman" w:hAnsi="Times New Roman" w:cs="Times New Roman"/>
                <w:i w:val="0"/>
                <w:iCs w:val="0"/>
                <w:color w:val="000000"/>
                <w:lang w:val="en-US" w:eastAsia="zh-CN" w:bidi="ar"/>
              </w:rPr>
              <w:t>同步</w:t>
            </w:r>
          </w:p>
        </w:tc>
        <w:tc>
          <w:tcPr>
            <w:tcW w:w="536" w:type="pct"/>
            <w:tcBorders>
              <w:right w:val="single" w:color="231F20" w:sz="6" w:space="0"/>
            </w:tcBorders>
            <w:shd w:val="clear" w:color="auto" w:fill="auto"/>
            <w:vAlign w:val="center"/>
          </w:tcPr>
          <w:p w14:paraId="7E11446F">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预期性</w:t>
            </w:r>
          </w:p>
        </w:tc>
      </w:tr>
      <w:tr w14:paraId="37A05C1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2489" w:type="pct"/>
            <w:gridSpan w:val="2"/>
            <w:tcBorders>
              <w:left w:val="single" w:color="231F20" w:sz="6" w:space="0"/>
            </w:tcBorders>
            <w:shd w:val="clear" w:color="auto" w:fill="auto"/>
            <w:vAlign w:val="center"/>
          </w:tcPr>
          <w:p w14:paraId="43AA9762">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9</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劳动年龄人口平均受教育年限</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年</w:t>
            </w:r>
            <w:r>
              <w:rPr>
                <w:rFonts w:hint="default" w:ascii="Times New Roman" w:hAnsi="Times New Roman" w:eastAsia="仿宋_GB2312" w:cs="Times New Roman"/>
                <w:color w:val="auto"/>
                <w:spacing w:val="0"/>
                <w:w w:val="100"/>
                <w:kern w:val="21"/>
                <w:position w:val="0"/>
                <w:sz w:val="21"/>
                <w:szCs w:val="21"/>
                <w:u w:val="none"/>
                <w:lang w:eastAsia="zh-CN"/>
              </w:rPr>
              <w:t>）</w:t>
            </w:r>
          </w:p>
        </w:tc>
        <w:tc>
          <w:tcPr>
            <w:tcW w:w="667" w:type="pct"/>
            <w:shd w:val="clear" w:color="auto" w:fill="auto"/>
            <w:vAlign w:val="center"/>
          </w:tcPr>
          <w:p w14:paraId="34879027">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11.48</w:t>
            </w:r>
          </w:p>
        </w:tc>
        <w:tc>
          <w:tcPr>
            <w:tcW w:w="583" w:type="pct"/>
            <w:shd w:val="clear" w:color="auto" w:fill="auto"/>
            <w:vAlign w:val="center"/>
          </w:tcPr>
          <w:p w14:paraId="710BDDCE">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11.88</w:t>
            </w:r>
          </w:p>
        </w:tc>
        <w:tc>
          <w:tcPr>
            <w:tcW w:w="723" w:type="pct"/>
            <w:shd w:val="clear" w:color="auto" w:fill="auto"/>
            <w:vAlign w:val="center"/>
          </w:tcPr>
          <w:p w14:paraId="2A0021EF">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36" w:type="pct"/>
            <w:tcBorders>
              <w:right w:val="single" w:color="231F20" w:sz="6" w:space="0"/>
            </w:tcBorders>
            <w:shd w:val="clear" w:color="auto" w:fill="auto"/>
            <w:vAlign w:val="center"/>
          </w:tcPr>
          <w:p w14:paraId="078C1795">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约束性</w:t>
            </w:r>
          </w:p>
        </w:tc>
      </w:tr>
      <w:tr w14:paraId="5A9330A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1190" w:type="pct"/>
            <w:vMerge w:val="restart"/>
            <w:tcBorders>
              <w:left w:val="single" w:color="231F20" w:sz="6" w:space="0"/>
            </w:tcBorders>
            <w:shd w:val="clear" w:color="auto" w:fill="auto"/>
            <w:vAlign w:val="center"/>
          </w:tcPr>
          <w:p w14:paraId="69B00DE3">
            <w:pPr>
              <w:pStyle w:val="19"/>
              <w:keepNext w:val="0"/>
              <w:keepLines w:val="0"/>
              <w:pageBreakBefore w:val="0"/>
              <w:widowControl w:val="0"/>
              <w:kinsoku/>
              <w:wordWrap/>
              <w:overflowPunct/>
              <w:topLinePunct w:val="0"/>
              <w:autoSpaceDE/>
              <w:autoSpaceDN/>
              <w:bidi w:val="0"/>
              <w:adjustRightInd w:val="0"/>
              <w:snapToGrid w:val="0"/>
              <w:spacing w:line="240" w:lineRule="exact"/>
              <w:ind w:left="0" w:leftChars="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10</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每千人口拥有医护人员数</w:t>
            </w:r>
          </w:p>
        </w:tc>
        <w:tc>
          <w:tcPr>
            <w:tcW w:w="1299" w:type="pct"/>
            <w:tcBorders>
              <w:left w:val="single" w:color="231F20" w:sz="6" w:space="0"/>
            </w:tcBorders>
            <w:shd w:val="clear" w:color="auto" w:fill="auto"/>
            <w:vAlign w:val="center"/>
          </w:tcPr>
          <w:p w14:paraId="76AEF3FB">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210" w:firstLineChars="100"/>
              <w:jc w:val="both"/>
              <w:textAlignment w:val="auto"/>
              <w:rPr>
                <w:rFonts w:hint="default" w:ascii="Times New Roman" w:hAnsi="Times New Roman" w:eastAsia="仿宋_GB2312" w:cs="Times New Roman"/>
                <w:color w:val="auto"/>
                <w:spacing w:val="0"/>
                <w:w w:val="100"/>
                <w:kern w:val="21"/>
                <w:position w:val="0"/>
                <w:sz w:val="21"/>
                <w:szCs w:val="21"/>
                <w:u w:val="none"/>
                <w:lang w:eastAsia="zh-CN"/>
              </w:rPr>
            </w:pPr>
            <w:r>
              <w:rPr>
                <w:rFonts w:hint="default" w:ascii="Times New Roman" w:hAnsi="Times New Roman" w:eastAsia="仿宋_GB2312" w:cs="Times New Roman"/>
                <w:color w:val="auto"/>
                <w:spacing w:val="0"/>
                <w:w w:val="100"/>
                <w:kern w:val="21"/>
                <w:position w:val="0"/>
                <w:sz w:val="21"/>
                <w:szCs w:val="21"/>
                <w:u w:val="none"/>
              </w:rPr>
              <w:t>执业医师数（人）</w:t>
            </w:r>
          </w:p>
        </w:tc>
        <w:tc>
          <w:tcPr>
            <w:tcW w:w="667" w:type="pct"/>
            <w:shd w:val="clear" w:color="auto" w:fill="auto"/>
            <w:vAlign w:val="center"/>
          </w:tcPr>
          <w:p w14:paraId="17676A33">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583" w:type="pct"/>
            <w:shd w:val="clear" w:color="auto" w:fill="auto"/>
            <w:vAlign w:val="center"/>
          </w:tcPr>
          <w:p w14:paraId="4484351A">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723" w:type="pct"/>
            <w:shd w:val="clear" w:color="auto" w:fill="auto"/>
            <w:vAlign w:val="center"/>
          </w:tcPr>
          <w:p w14:paraId="712158FB">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36" w:type="pct"/>
            <w:vMerge w:val="restart"/>
            <w:tcBorders>
              <w:right w:val="single" w:color="231F20" w:sz="6" w:space="0"/>
            </w:tcBorders>
            <w:shd w:val="clear" w:color="auto" w:fill="auto"/>
            <w:vAlign w:val="center"/>
          </w:tcPr>
          <w:p w14:paraId="66932557">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预期性</w:t>
            </w:r>
          </w:p>
        </w:tc>
      </w:tr>
      <w:tr w14:paraId="7135FCF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1190" w:type="pct"/>
            <w:vMerge w:val="continue"/>
            <w:tcBorders>
              <w:left w:val="single" w:color="231F20" w:sz="6" w:space="0"/>
            </w:tcBorders>
            <w:shd w:val="clear" w:color="auto" w:fill="auto"/>
            <w:vAlign w:val="center"/>
          </w:tcPr>
          <w:p w14:paraId="3FB6E8B9">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lang w:eastAsia="zh-CN"/>
              </w:rPr>
            </w:pPr>
          </w:p>
        </w:tc>
        <w:tc>
          <w:tcPr>
            <w:tcW w:w="1299" w:type="pct"/>
            <w:tcBorders>
              <w:left w:val="single" w:color="231F20" w:sz="6" w:space="0"/>
            </w:tcBorders>
            <w:shd w:val="clear" w:color="auto" w:fill="auto"/>
            <w:vAlign w:val="center"/>
          </w:tcPr>
          <w:p w14:paraId="737A85E0">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210" w:firstLineChars="100"/>
              <w:jc w:val="both"/>
              <w:textAlignment w:val="auto"/>
              <w:rPr>
                <w:rFonts w:hint="default" w:ascii="Times New Roman" w:hAnsi="Times New Roman" w:eastAsia="仿宋_GB2312" w:cs="Times New Roman"/>
                <w:color w:val="auto"/>
                <w:spacing w:val="0"/>
                <w:w w:val="100"/>
                <w:kern w:val="21"/>
                <w:position w:val="0"/>
                <w:sz w:val="21"/>
                <w:szCs w:val="21"/>
                <w:u w:val="none"/>
                <w:lang w:eastAsia="zh-CN"/>
              </w:rPr>
            </w:pPr>
            <w:r>
              <w:rPr>
                <w:rFonts w:hint="default" w:ascii="Times New Roman" w:hAnsi="Times New Roman" w:eastAsia="仿宋_GB2312" w:cs="Times New Roman"/>
                <w:color w:val="auto"/>
                <w:spacing w:val="0"/>
                <w:w w:val="100"/>
                <w:kern w:val="21"/>
                <w:position w:val="0"/>
                <w:sz w:val="21"/>
                <w:szCs w:val="21"/>
                <w:u w:val="none"/>
              </w:rPr>
              <w:t>注册护士数（人）</w:t>
            </w:r>
          </w:p>
        </w:tc>
        <w:tc>
          <w:tcPr>
            <w:tcW w:w="667" w:type="pct"/>
            <w:shd w:val="clear" w:color="auto" w:fill="auto"/>
            <w:vAlign w:val="center"/>
          </w:tcPr>
          <w:p w14:paraId="5EF50B85">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583" w:type="pct"/>
            <w:shd w:val="clear" w:color="auto" w:fill="auto"/>
            <w:vAlign w:val="center"/>
          </w:tcPr>
          <w:p w14:paraId="28F224FA">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723" w:type="pct"/>
            <w:shd w:val="clear" w:color="auto" w:fill="auto"/>
            <w:vAlign w:val="center"/>
          </w:tcPr>
          <w:p w14:paraId="33B1279C">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36" w:type="pct"/>
            <w:vMerge w:val="continue"/>
            <w:tcBorders>
              <w:right w:val="single" w:color="231F20" w:sz="6" w:space="0"/>
            </w:tcBorders>
            <w:shd w:val="clear" w:color="auto" w:fill="auto"/>
            <w:vAlign w:val="center"/>
          </w:tcPr>
          <w:p w14:paraId="6DDF76E1">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p>
        </w:tc>
      </w:tr>
      <w:tr w14:paraId="19E0435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2489" w:type="pct"/>
            <w:gridSpan w:val="2"/>
            <w:tcBorders>
              <w:left w:val="single" w:color="231F20" w:sz="6" w:space="0"/>
            </w:tcBorders>
            <w:shd w:val="clear" w:color="auto" w:fill="auto"/>
            <w:vAlign w:val="center"/>
          </w:tcPr>
          <w:p w14:paraId="57E8E342">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lang w:eastAsia="zh-CN"/>
              </w:rPr>
              <w:t>（1</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1</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养老机构护理型床位占比</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rPr>
              <w:t>％</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p>
        </w:tc>
        <w:tc>
          <w:tcPr>
            <w:tcW w:w="667" w:type="pct"/>
            <w:shd w:val="clear" w:color="auto" w:fill="auto"/>
            <w:vAlign w:val="center"/>
          </w:tcPr>
          <w:p w14:paraId="7594A0AA">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lang w:val="en-US"/>
              </w:rPr>
            </w:pPr>
            <w:r>
              <w:rPr>
                <w:rFonts w:hint="eastAsia" w:ascii="Times New Roman" w:hAnsi="Times New Roman" w:eastAsia="宋体" w:cs="Times New Roman"/>
                <w:i w:val="0"/>
                <w:iCs w:val="0"/>
                <w:color w:val="000000"/>
                <w:kern w:val="0"/>
                <w:sz w:val="21"/>
                <w:szCs w:val="21"/>
                <w:highlight w:val="none"/>
                <w:u w:val="none"/>
                <w:lang w:val="en-US" w:eastAsia="zh-CN" w:bidi="ar"/>
              </w:rPr>
              <w:t>75</w:t>
            </w:r>
          </w:p>
        </w:tc>
        <w:tc>
          <w:tcPr>
            <w:tcW w:w="583" w:type="pct"/>
            <w:shd w:val="clear" w:color="auto" w:fill="auto"/>
            <w:vAlign w:val="center"/>
          </w:tcPr>
          <w:p w14:paraId="05D76873">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Style w:val="21"/>
                <w:rFonts w:hint="default" w:ascii="Times New Roman" w:hAnsi="Times New Roman" w:cs="Times New Roman"/>
                <w:i w:val="0"/>
                <w:iCs w:val="0"/>
                <w:color w:val="000000"/>
                <w:highlight w:val="none"/>
                <w:lang w:val="en-US" w:eastAsia="zh-CN" w:bidi="ar"/>
              </w:rPr>
            </w:pPr>
            <w:r>
              <w:rPr>
                <w:rStyle w:val="21"/>
                <w:rFonts w:hint="default" w:ascii="Times New Roman" w:hAnsi="Times New Roman" w:cs="Times New Roman"/>
                <w:i w:val="0"/>
                <w:iCs w:val="0"/>
                <w:color w:val="000000"/>
                <w:highlight w:val="none"/>
                <w:lang w:val="en-US" w:eastAsia="zh-CN" w:bidi="ar"/>
              </w:rPr>
              <w:t>保持在</w:t>
            </w:r>
          </w:p>
          <w:p w14:paraId="05130A88">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rPr>
            </w:pPr>
            <w:r>
              <w:rPr>
                <w:rStyle w:val="21"/>
                <w:rFonts w:hint="default" w:ascii="Times New Roman" w:hAnsi="Times New Roman" w:cs="Times New Roman"/>
                <w:i w:val="0"/>
                <w:iCs w:val="0"/>
                <w:color w:val="000000"/>
                <w:highlight w:val="none"/>
                <w:lang w:val="en-US" w:eastAsia="zh-CN" w:bidi="ar"/>
              </w:rPr>
              <w:t>70以上</w:t>
            </w:r>
          </w:p>
        </w:tc>
        <w:tc>
          <w:tcPr>
            <w:tcW w:w="723" w:type="pct"/>
            <w:shd w:val="clear" w:color="auto" w:fill="auto"/>
            <w:vAlign w:val="center"/>
          </w:tcPr>
          <w:p w14:paraId="467F068A">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536" w:type="pct"/>
            <w:tcBorders>
              <w:right w:val="single" w:color="231F20" w:sz="6" w:space="0"/>
            </w:tcBorders>
            <w:shd w:val="clear" w:color="auto" w:fill="auto"/>
            <w:vAlign w:val="center"/>
          </w:tcPr>
          <w:p w14:paraId="40A89050">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rPr>
              <w:t>预期性</w:t>
            </w:r>
          </w:p>
        </w:tc>
      </w:tr>
      <w:tr w14:paraId="52C8976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2489" w:type="pct"/>
            <w:gridSpan w:val="2"/>
            <w:tcBorders>
              <w:left w:val="single" w:color="231F20" w:sz="6" w:space="0"/>
            </w:tcBorders>
            <w:shd w:val="clear" w:color="auto" w:fill="auto"/>
            <w:vAlign w:val="center"/>
          </w:tcPr>
          <w:p w14:paraId="4A865273">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highlight w:val="none"/>
                <w:u w:val="none"/>
                <w:lang w:val="en-US" w:eastAsia="zh-CN"/>
              </w:rPr>
            </w:pPr>
            <w:r>
              <w:rPr>
                <w:rFonts w:hint="default" w:ascii="Times New Roman" w:hAnsi="Times New Roman" w:eastAsia="仿宋_GB2312" w:cs="Times New Roman"/>
                <w:color w:val="auto"/>
                <w:spacing w:val="0"/>
                <w:w w:val="100"/>
                <w:kern w:val="21"/>
                <w:position w:val="0"/>
                <w:sz w:val="21"/>
                <w:szCs w:val="21"/>
                <w:highlight w:val="none"/>
                <w:u w:val="none"/>
                <w:lang w:eastAsia="zh-CN"/>
              </w:rPr>
              <w:t>（1</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2</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kern w:val="21"/>
                <w:sz w:val="21"/>
                <w:szCs w:val="21"/>
                <w:highlight w:val="none"/>
                <w:u w:val="none"/>
                <w:lang w:eastAsia="zh-CN"/>
              </w:rPr>
              <w:t>三岁以下婴幼儿入托率</w:t>
            </w:r>
            <w:r>
              <w:rPr>
                <w:rFonts w:hint="eastAsia" w:ascii="Times New Roman" w:hAnsi="Times New Roman" w:eastAsia="仿宋_GB2312" w:cs="Times New Roman"/>
                <w:color w:val="auto"/>
                <w:kern w:val="21"/>
                <w:sz w:val="21"/>
                <w:szCs w:val="21"/>
                <w:highlight w:val="none"/>
                <w:u w:val="none"/>
                <w:lang w:val="en-US" w:eastAsia="zh-CN"/>
              </w:rPr>
              <w:t>提高</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w:t>
            </w:r>
            <w:r>
              <w:rPr>
                <w:rFonts w:hint="eastAsia" w:ascii="Times New Roman" w:hAnsi="Times New Roman" w:eastAsia="仿宋_GB2312" w:cs="Times New Roman"/>
                <w:color w:val="auto"/>
                <w:kern w:val="21"/>
                <w:sz w:val="21"/>
                <w:szCs w:val="21"/>
                <w:highlight w:val="none"/>
                <w:u w:val="none"/>
                <w:lang w:val="en-US" w:eastAsia="zh-CN"/>
              </w:rPr>
              <w:t>百分点</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w:t>
            </w:r>
          </w:p>
        </w:tc>
        <w:tc>
          <w:tcPr>
            <w:tcW w:w="667" w:type="pct"/>
            <w:shd w:val="clear" w:color="auto" w:fill="auto"/>
            <w:vAlign w:val="center"/>
          </w:tcPr>
          <w:p w14:paraId="2E22A179">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lang w:val="en-US"/>
              </w:rPr>
            </w:pPr>
            <w:r>
              <w:rPr>
                <w:rFonts w:hint="eastAsia" w:ascii="Times New Roman" w:hAnsi="Times New Roman" w:cs="Times New Roman"/>
                <w:color w:val="auto"/>
                <w:spacing w:val="0"/>
                <w:w w:val="100"/>
                <w:kern w:val="21"/>
                <w:position w:val="0"/>
                <w:sz w:val="21"/>
                <w:szCs w:val="21"/>
                <w:highlight w:val="none"/>
                <w:u w:val="none"/>
                <w:lang w:val="en-US" w:eastAsia="zh-CN"/>
              </w:rPr>
              <w:t>10</w:t>
            </w:r>
          </w:p>
        </w:tc>
        <w:tc>
          <w:tcPr>
            <w:tcW w:w="583" w:type="pct"/>
            <w:shd w:val="clear" w:color="auto" w:fill="auto"/>
            <w:vAlign w:val="center"/>
          </w:tcPr>
          <w:p w14:paraId="7F4E9D5F">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lang w:val="en-US"/>
              </w:rPr>
            </w:pPr>
            <w:r>
              <w:rPr>
                <w:rFonts w:hint="eastAsia" w:ascii="Times New Roman" w:hAnsi="Times New Roman" w:cs="Times New Roman"/>
                <w:color w:val="auto"/>
                <w:spacing w:val="0"/>
                <w:w w:val="100"/>
                <w:kern w:val="21"/>
                <w:position w:val="0"/>
                <w:sz w:val="21"/>
                <w:szCs w:val="21"/>
                <w:highlight w:val="none"/>
                <w:u w:val="none"/>
                <w:lang w:val="en-US" w:eastAsia="zh-CN"/>
              </w:rPr>
              <w:t>16.8</w:t>
            </w:r>
          </w:p>
        </w:tc>
        <w:tc>
          <w:tcPr>
            <w:tcW w:w="723" w:type="pct"/>
            <w:shd w:val="clear" w:color="auto" w:fill="auto"/>
            <w:vAlign w:val="center"/>
          </w:tcPr>
          <w:p w14:paraId="05BF5DA1">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lang w:val="en-US" w:eastAsia="zh-CN"/>
              </w:rPr>
            </w:pPr>
            <w:r>
              <w:rPr>
                <w:rFonts w:hint="eastAsia" w:ascii="Times New Roman" w:hAnsi="Times New Roman" w:cs="Times New Roman"/>
                <w:color w:val="auto"/>
                <w:spacing w:val="0"/>
                <w:w w:val="100"/>
                <w:kern w:val="21"/>
                <w:position w:val="0"/>
                <w:sz w:val="21"/>
                <w:szCs w:val="21"/>
                <w:highlight w:val="none"/>
                <w:u w:val="none"/>
                <w:lang w:val="en-US" w:eastAsia="zh-CN"/>
              </w:rPr>
              <w:t>6.5</w:t>
            </w:r>
          </w:p>
        </w:tc>
        <w:tc>
          <w:tcPr>
            <w:tcW w:w="536" w:type="pct"/>
            <w:tcBorders>
              <w:right w:val="single" w:color="231F20" w:sz="6" w:space="0"/>
            </w:tcBorders>
            <w:shd w:val="clear" w:color="auto" w:fill="auto"/>
            <w:vAlign w:val="center"/>
          </w:tcPr>
          <w:p w14:paraId="037F2465">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rPr>
              <w:t>预期性</w:t>
            </w:r>
          </w:p>
        </w:tc>
      </w:tr>
      <w:tr w14:paraId="7EB8554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2489" w:type="pct"/>
            <w:gridSpan w:val="2"/>
            <w:tcBorders>
              <w:left w:val="single" w:color="231F20" w:sz="6" w:space="0"/>
            </w:tcBorders>
            <w:shd w:val="clear" w:color="auto" w:fill="auto"/>
            <w:vAlign w:val="center"/>
          </w:tcPr>
          <w:p w14:paraId="74D9ACEF">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lang w:eastAsia="zh-CN"/>
              </w:rPr>
              <w:t>（1</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3</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rPr>
              <w:t>人均预期寿命</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rPr>
              <w:t>岁</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p>
        </w:tc>
        <w:tc>
          <w:tcPr>
            <w:tcW w:w="667" w:type="pct"/>
            <w:shd w:val="clear" w:color="auto" w:fill="auto"/>
            <w:vAlign w:val="center"/>
          </w:tcPr>
          <w:p w14:paraId="252A8373">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rPr>
            </w:pPr>
            <w:r>
              <w:rPr>
                <w:rFonts w:hint="eastAsia" w:ascii="Times New Roman" w:hAnsi="Times New Roman" w:cs="Times New Roman"/>
                <w:color w:val="auto"/>
                <w:spacing w:val="0"/>
                <w:w w:val="100"/>
                <w:kern w:val="21"/>
                <w:position w:val="0"/>
                <w:sz w:val="21"/>
                <w:szCs w:val="21"/>
                <w:highlight w:val="none"/>
                <w:u w:val="none"/>
                <w:lang w:val="en-US" w:eastAsia="zh-CN"/>
              </w:rPr>
              <w:t>81.07</w:t>
            </w:r>
          </w:p>
        </w:tc>
        <w:tc>
          <w:tcPr>
            <w:tcW w:w="583" w:type="pct"/>
            <w:shd w:val="clear" w:color="auto" w:fill="auto"/>
            <w:vAlign w:val="center"/>
          </w:tcPr>
          <w:p w14:paraId="1336E3F6">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rPr>
            </w:pPr>
            <w:r>
              <w:rPr>
                <w:rFonts w:hint="eastAsia" w:ascii="Times New Roman" w:hAnsi="Times New Roman" w:cs="Times New Roman"/>
                <w:color w:val="auto"/>
                <w:spacing w:val="0"/>
                <w:w w:val="100"/>
                <w:kern w:val="21"/>
                <w:position w:val="0"/>
                <w:sz w:val="21"/>
                <w:szCs w:val="21"/>
                <w:highlight w:val="none"/>
                <w:u w:val="none"/>
                <w:lang w:val="en-US" w:eastAsia="zh-CN"/>
              </w:rPr>
              <w:t>82</w:t>
            </w:r>
          </w:p>
        </w:tc>
        <w:tc>
          <w:tcPr>
            <w:tcW w:w="723" w:type="pct"/>
            <w:shd w:val="clear" w:color="auto" w:fill="auto"/>
            <w:vAlign w:val="center"/>
          </w:tcPr>
          <w:p w14:paraId="36F4EFAD">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536" w:type="pct"/>
            <w:tcBorders>
              <w:right w:val="single" w:color="231F20" w:sz="6" w:space="0"/>
            </w:tcBorders>
            <w:shd w:val="clear" w:color="auto" w:fill="auto"/>
            <w:vAlign w:val="center"/>
          </w:tcPr>
          <w:p w14:paraId="5F15B2A7">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rPr>
              <w:t>预期性</w:t>
            </w:r>
          </w:p>
        </w:tc>
      </w:tr>
      <w:tr w14:paraId="60F1A1A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5000" w:type="pct"/>
            <w:gridSpan w:val="6"/>
            <w:tcBorders>
              <w:left w:val="single" w:color="231F20" w:sz="6" w:space="0"/>
              <w:right w:val="single" w:color="231F20" w:sz="6" w:space="0"/>
            </w:tcBorders>
            <w:shd w:val="clear" w:color="auto" w:fill="auto"/>
            <w:vAlign w:val="center"/>
          </w:tcPr>
          <w:p w14:paraId="173105BE">
            <w:pPr>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left"/>
              <w:textAlignment w:val="auto"/>
            </w:pPr>
            <w:r>
              <w:rPr>
                <w:rFonts w:hint="default" w:ascii="Times New Roman" w:hAnsi="Times New Roman" w:eastAsia="仿宋_GB2312" w:cs="Times New Roman"/>
                <w:b/>
                <w:bCs/>
                <w:color w:val="auto"/>
                <w:spacing w:val="0"/>
                <w:w w:val="100"/>
                <w:kern w:val="21"/>
                <w:position w:val="0"/>
                <w:sz w:val="21"/>
                <w:szCs w:val="21"/>
                <w:u w:val="none"/>
              </w:rPr>
              <w:t>绿色生态</w:t>
            </w:r>
          </w:p>
        </w:tc>
      </w:tr>
      <w:tr w14:paraId="1350D29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6" w:hRule="atLeast"/>
          <w:jc w:val="center"/>
        </w:trPr>
        <w:tc>
          <w:tcPr>
            <w:tcW w:w="2489" w:type="pct"/>
            <w:gridSpan w:val="2"/>
            <w:tcBorders>
              <w:left w:val="single" w:color="231F20" w:sz="6" w:space="0"/>
              <w:right w:val="single" w:color="auto" w:sz="4" w:space="0"/>
            </w:tcBorders>
            <w:shd w:val="clear" w:color="auto" w:fill="auto"/>
            <w:vAlign w:val="center"/>
          </w:tcPr>
          <w:p w14:paraId="478BD687">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lang w:eastAsia="zh-CN"/>
              </w:rPr>
              <w:t>（1</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4</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rPr>
              <w:t>单位</w:t>
            </w:r>
            <w:r>
              <w:rPr>
                <w:rFonts w:hint="default" w:ascii="Times New Roman" w:hAnsi="Times New Roman" w:eastAsia="仿宋_GB2312" w:cs="Times New Roman"/>
                <w:color w:val="auto"/>
                <w:spacing w:val="0"/>
                <w:w w:val="100"/>
                <w:kern w:val="21"/>
                <w:position w:val="0"/>
                <w:sz w:val="21"/>
                <w:szCs w:val="21"/>
                <w:highlight w:val="none"/>
                <w:u w:val="none"/>
                <w:lang w:val="en-US" w:eastAsia="zh-CN"/>
              </w:rPr>
              <w:t>GDP二氧化碳排放</w:t>
            </w:r>
            <w:r>
              <w:rPr>
                <w:rFonts w:hint="default" w:ascii="Times New Roman" w:hAnsi="Times New Roman" w:eastAsia="仿宋_GB2312" w:cs="Times New Roman"/>
                <w:color w:val="auto"/>
                <w:spacing w:val="0"/>
                <w:w w:val="100"/>
                <w:kern w:val="21"/>
                <w:position w:val="0"/>
                <w:sz w:val="21"/>
                <w:szCs w:val="21"/>
                <w:highlight w:val="none"/>
                <w:u w:val="none"/>
              </w:rPr>
              <w:t>降低</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r>
              <w:rPr>
                <w:rFonts w:hint="default" w:ascii="Times New Roman" w:hAnsi="Times New Roman" w:eastAsia="仿宋_GB2312" w:cs="Times New Roman"/>
                <w:color w:val="auto"/>
                <w:spacing w:val="0"/>
                <w:w w:val="100"/>
                <w:kern w:val="21"/>
                <w:position w:val="0"/>
                <w:sz w:val="21"/>
                <w:szCs w:val="21"/>
                <w:highlight w:val="none"/>
                <w:u w:val="none"/>
              </w:rPr>
              <w:t>％</w:t>
            </w:r>
            <w:r>
              <w:rPr>
                <w:rFonts w:hint="default" w:ascii="Times New Roman" w:hAnsi="Times New Roman" w:eastAsia="仿宋_GB2312" w:cs="Times New Roman"/>
                <w:color w:val="auto"/>
                <w:spacing w:val="0"/>
                <w:w w:val="100"/>
                <w:kern w:val="21"/>
                <w:position w:val="0"/>
                <w:sz w:val="21"/>
                <w:szCs w:val="21"/>
                <w:highlight w:val="none"/>
                <w:u w:val="none"/>
                <w:lang w:eastAsia="zh-CN"/>
              </w:rPr>
              <w:t>）</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1D7B15F7">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Style w:val="21"/>
                <w:rFonts w:hint="default" w:ascii="Times New Roman" w:hAnsi="Times New Roman" w:cs="Times New Roman"/>
                <w:i w:val="0"/>
                <w:iCs w:val="0"/>
                <w:color w:val="000000"/>
                <w:highlight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[21.95]</w:t>
            </w:r>
          </w:p>
        </w:tc>
        <w:tc>
          <w:tcPr>
            <w:tcW w:w="583" w:type="pct"/>
            <w:vMerge w:val="restart"/>
            <w:tcBorders>
              <w:top w:val="single" w:color="auto" w:sz="4" w:space="0"/>
              <w:left w:val="single" w:color="auto" w:sz="4" w:space="0"/>
              <w:right w:val="single" w:color="auto" w:sz="4" w:space="0"/>
            </w:tcBorders>
            <w:shd w:val="clear" w:color="auto" w:fill="auto"/>
            <w:vAlign w:val="center"/>
          </w:tcPr>
          <w:p w14:paraId="00341183">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Style w:val="21"/>
                <w:rFonts w:hint="default" w:ascii="Times New Roman" w:hAnsi="Times New Roman" w:cs="Times New Roman"/>
                <w:i w:val="0"/>
                <w:iCs w:val="0"/>
                <w:color w:val="000000"/>
                <w:highlight w:val="none"/>
                <w:lang w:val="en-US" w:eastAsia="zh-CN" w:bidi="ar"/>
              </w:rPr>
            </w:pPr>
            <w:r>
              <w:rPr>
                <w:rStyle w:val="21"/>
                <w:rFonts w:hint="default" w:ascii="Times New Roman" w:hAnsi="Times New Roman" w:cs="Times New Roman"/>
                <w:i w:val="0"/>
                <w:iCs w:val="0"/>
                <w:color w:val="000000"/>
                <w:highlight w:val="none"/>
                <w:lang w:val="en-US" w:eastAsia="zh-CN" w:bidi="ar"/>
              </w:rPr>
              <w:t>完成省、市分解任务</w:t>
            </w:r>
          </w:p>
        </w:tc>
        <w:tc>
          <w:tcPr>
            <w:tcW w:w="723" w:type="pct"/>
            <w:tcBorders>
              <w:top w:val="single" w:color="auto" w:sz="4" w:space="0"/>
              <w:left w:val="single" w:color="auto" w:sz="4" w:space="0"/>
              <w:bottom w:val="single" w:color="auto" w:sz="4" w:space="0"/>
              <w:right w:val="single" w:color="auto" w:sz="4" w:space="0"/>
            </w:tcBorders>
            <w:shd w:val="clear" w:color="auto" w:fill="auto"/>
            <w:vAlign w:val="center"/>
          </w:tcPr>
          <w:p w14:paraId="00F4AD3B">
            <w:pPr>
              <w:pStyle w:val="1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rPr>
              <w:t>—</w:t>
            </w:r>
          </w:p>
        </w:tc>
        <w:tc>
          <w:tcPr>
            <w:tcW w:w="536" w:type="pct"/>
            <w:tcBorders>
              <w:left w:val="single" w:color="auto" w:sz="4" w:space="0"/>
              <w:right w:val="single" w:color="231F20" w:sz="6" w:space="0"/>
            </w:tcBorders>
            <w:shd w:val="clear" w:color="auto" w:fill="auto"/>
            <w:vAlign w:val="center"/>
          </w:tcPr>
          <w:p w14:paraId="70287166">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highlight w:val="none"/>
                <w:u w:val="none"/>
              </w:rPr>
            </w:pPr>
            <w:r>
              <w:rPr>
                <w:rFonts w:hint="default" w:ascii="Times New Roman" w:hAnsi="Times New Roman" w:eastAsia="仿宋_GB2312" w:cs="Times New Roman"/>
                <w:color w:val="auto"/>
                <w:spacing w:val="0"/>
                <w:w w:val="100"/>
                <w:kern w:val="21"/>
                <w:position w:val="0"/>
                <w:sz w:val="21"/>
                <w:szCs w:val="21"/>
                <w:highlight w:val="none"/>
                <w:u w:val="none"/>
              </w:rPr>
              <w:t>约束性</w:t>
            </w:r>
          </w:p>
        </w:tc>
      </w:tr>
      <w:tr w14:paraId="33D402C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6" w:hRule="atLeast"/>
          <w:jc w:val="center"/>
        </w:trPr>
        <w:tc>
          <w:tcPr>
            <w:tcW w:w="2489" w:type="pct"/>
            <w:gridSpan w:val="2"/>
            <w:tcBorders>
              <w:left w:val="single" w:color="231F20" w:sz="6" w:space="0"/>
              <w:right w:val="single" w:color="auto" w:sz="4" w:space="0"/>
            </w:tcBorders>
            <w:shd w:val="clear" w:color="auto" w:fill="auto"/>
            <w:vAlign w:val="center"/>
          </w:tcPr>
          <w:p w14:paraId="5F71FB4E">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lang w:eastAsia="zh-CN"/>
              </w:rPr>
              <w:t>（1</w:t>
            </w:r>
            <w:r>
              <w:rPr>
                <w:rFonts w:hint="default" w:ascii="Times New Roman" w:hAnsi="Times New Roman" w:eastAsia="仿宋_GB2312" w:cs="Times New Roman"/>
                <w:color w:val="auto"/>
                <w:spacing w:val="0"/>
                <w:w w:val="100"/>
                <w:kern w:val="21"/>
                <w:position w:val="0"/>
                <w:sz w:val="21"/>
                <w:szCs w:val="21"/>
                <w:u w:val="none"/>
                <w:lang w:val="en-US" w:eastAsia="zh-CN"/>
              </w:rPr>
              <w:t>5</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非化石能源占能源消费总量比重</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w:t>
            </w:r>
            <w:r>
              <w:rPr>
                <w:rFonts w:hint="default" w:ascii="Times New Roman" w:hAnsi="Times New Roman" w:eastAsia="仿宋_GB2312" w:cs="Times New Roman"/>
                <w:color w:val="auto"/>
                <w:spacing w:val="0"/>
                <w:w w:val="100"/>
                <w:kern w:val="21"/>
                <w:position w:val="0"/>
                <w:sz w:val="21"/>
                <w:szCs w:val="21"/>
                <w:u w:val="none"/>
                <w:lang w:eastAsia="zh-CN"/>
              </w:rPr>
              <w:t>）</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6CF4D76C">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12.2</w:t>
            </w:r>
          </w:p>
        </w:tc>
        <w:tc>
          <w:tcPr>
            <w:tcW w:w="583" w:type="pct"/>
            <w:vMerge w:val="continue"/>
            <w:tcBorders>
              <w:left w:val="single" w:color="auto" w:sz="4" w:space="0"/>
              <w:right w:val="single" w:color="auto" w:sz="4" w:space="0"/>
            </w:tcBorders>
            <w:shd w:val="clear" w:color="auto" w:fill="auto"/>
            <w:vAlign w:val="center"/>
          </w:tcPr>
          <w:p w14:paraId="0B153AAB">
            <w:pPr>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p>
        </w:tc>
        <w:tc>
          <w:tcPr>
            <w:tcW w:w="723" w:type="pct"/>
            <w:tcBorders>
              <w:top w:val="single" w:color="auto" w:sz="4" w:space="0"/>
              <w:left w:val="single" w:color="auto" w:sz="4" w:space="0"/>
              <w:bottom w:val="single" w:color="auto" w:sz="4" w:space="0"/>
              <w:right w:val="single" w:color="auto" w:sz="4" w:space="0"/>
            </w:tcBorders>
            <w:shd w:val="clear" w:color="auto" w:fill="auto"/>
            <w:vAlign w:val="center"/>
          </w:tcPr>
          <w:p w14:paraId="740F239E">
            <w:pPr>
              <w:pStyle w:val="1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w:t>
            </w:r>
          </w:p>
        </w:tc>
        <w:tc>
          <w:tcPr>
            <w:tcW w:w="536" w:type="pct"/>
            <w:tcBorders>
              <w:left w:val="single" w:color="auto" w:sz="4" w:space="0"/>
              <w:right w:val="single" w:color="231F20" w:sz="6" w:space="0"/>
            </w:tcBorders>
            <w:shd w:val="clear" w:color="auto" w:fill="auto"/>
            <w:vAlign w:val="center"/>
          </w:tcPr>
          <w:p w14:paraId="7C6160BD">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约束性</w:t>
            </w:r>
          </w:p>
        </w:tc>
      </w:tr>
      <w:tr w14:paraId="1D5AA17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6" w:hRule="atLeast"/>
          <w:jc w:val="center"/>
        </w:trPr>
        <w:tc>
          <w:tcPr>
            <w:tcW w:w="2489" w:type="pct"/>
            <w:gridSpan w:val="2"/>
            <w:tcBorders>
              <w:left w:val="single" w:color="231F20" w:sz="6" w:space="0"/>
              <w:right w:val="single" w:color="auto" w:sz="4" w:space="0"/>
            </w:tcBorders>
            <w:shd w:val="clear" w:color="auto" w:fill="auto"/>
            <w:vAlign w:val="center"/>
          </w:tcPr>
          <w:p w14:paraId="3FE63888">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lang w:eastAsia="zh-CN"/>
              </w:rPr>
              <w:t>（1</w:t>
            </w:r>
            <w:r>
              <w:rPr>
                <w:rFonts w:hint="default" w:ascii="Times New Roman" w:hAnsi="Times New Roman" w:eastAsia="仿宋_GB2312" w:cs="Times New Roman"/>
                <w:color w:val="auto"/>
                <w:spacing w:val="0"/>
                <w:w w:val="100"/>
                <w:kern w:val="21"/>
                <w:position w:val="0"/>
                <w:sz w:val="21"/>
                <w:szCs w:val="21"/>
                <w:u w:val="none"/>
                <w:lang w:val="en-US" w:eastAsia="zh-CN"/>
              </w:rPr>
              <w:t>6</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细颗粒物（PM2.5）浓度</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微克/立方米</w:t>
            </w:r>
            <w:r>
              <w:rPr>
                <w:rFonts w:hint="default" w:ascii="Times New Roman" w:hAnsi="Times New Roman" w:eastAsia="仿宋_GB2312" w:cs="Times New Roman"/>
                <w:color w:val="auto"/>
                <w:spacing w:val="0"/>
                <w:w w:val="100"/>
                <w:kern w:val="21"/>
                <w:position w:val="0"/>
                <w:sz w:val="21"/>
                <w:szCs w:val="21"/>
                <w:u w:val="none"/>
                <w:lang w:eastAsia="zh-CN"/>
              </w:rPr>
              <w:t>）</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2CF8E5EF">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仿宋_GB2312" w:cs="Times New Roman"/>
                <w:color w:val="auto"/>
                <w:spacing w:val="0"/>
                <w:w w:val="100"/>
                <w:kern w:val="21"/>
                <w:positio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41</w:t>
            </w:r>
          </w:p>
        </w:tc>
        <w:tc>
          <w:tcPr>
            <w:tcW w:w="583" w:type="pct"/>
            <w:vMerge w:val="continue"/>
            <w:tcBorders>
              <w:left w:val="single" w:color="auto" w:sz="4" w:space="0"/>
              <w:right w:val="single" w:color="auto" w:sz="4" w:space="0"/>
            </w:tcBorders>
            <w:shd w:val="clear" w:color="auto" w:fill="auto"/>
            <w:vAlign w:val="center"/>
          </w:tcPr>
          <w:p w14:paraId="18219AD9">
            <w:pPr>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p>
        </w:tc>
        <w:tc>
          <w:tcPr>
            <w:tcW w:w="723" w:type="pct"/>
            <w:tcBorders>
              <w:top w:val="single" w:color="auto" w:sz="4" w:space="0"/>
              <w:left w:val="single" w:color="auto" w:sz="4" w:space="0"/>
              <w:bottom w:val="single" w:color="auto" w:sz="4" w:space="0"/>
              <w:right w:val="single" w:color="auto" w:sz="4" w:space="0"/>
            </w:tcBorders>
            <w:shd w:val="clear" w:color="auto" w:fill="auto"/>
            <w:vAlign w:val="center"/>
          </w:tcPr>
          <w:p w14:paraId="241DA424">
            <w:pPr>
              <w:pStyle w:val="1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w:t>
            </w:r>
          </w:p>
        </w:tc>
        <w:tc>
          <w:tcPr>
            <w:tcW w:w="536" w:type="pct"/>
            <w:tcBorders>
              <w:left w:val="single" w:color="auto" w:sz="4" w:space="0"/>
              <w:right w:val="single" w:color="231F20" w:sz="6" w:space="0"/>
            </w:tcBorders>
            <w:shd w:val="clear" w:color="auto" w:fill="auto"/>
            <w:vAlign w:val="center"/>
          </w:tcPr>
          <w:p w14:paraId="56BE0283">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约束性</w:t>
            </w:r>
          </w:p>
        </w:tc>
      </w:tr>
      <w:tr w14:paraId="263B6D1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6" w:hRule="atLeast"/>
          <w:jc w:val="center"/>
        </w:trPr>
        <w:tc>
          <w:tcPr>
            <w:tcW w:w="2489" w:type="pct"/>
            <w:gridSpan w:val="2"/>
            <w:tcBorders>
              <w:left w:val="single" w:color="231F20" w:sz="6" w:space="0"/>
              <w:right w:val="single" w:color="auto" w:sz="4" w:space="0"/>
            </w:tcBorders>
            <w:shd w:val="clear" w:color="auto" w:fill="auto"/>
            <w:vAlign w:val="center"/>
          </w:tcPr>
          <w:p w14:paraId="0EEF4636">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lang w:eastAsia="zh-CN"/>
              </w:rPr>
              <w:t>（1</w:t>
            </w:r>
            <w:r>
              <w:rPr>
                <w:rFonts w:hint="default" w:ascii="Times New Roman" w:hAnsi="Times New Roman" w:eastAsia="仿宋_GB2312" w:cs="Times New Roman"/>
                <w:color w:val="auto"/>
                <w:spacing w:val="0"/>
                <w:w w:val="100"/>
                <w:kern w:val="21"/>
                <w:position w:val="0"/>
                <w:sz w:val="21"/>
                <w:szCs w:val="21"/>
                <w:u w:val="none"/>
                <w:lang w:val="en-US" w:eastAsia="zh-CN"/>
              </w:rPr>
              <w:t>7</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优良</w:t>
            </w:r>
            <w:r>
              <w:rPr>
                <w:rFonts w:hint="default" w:ascii="Times New Roman" w:hAnsi="Times New Roman" w:eastAsia="仿宋_GB2312" w:cs="Times New Roman"/>
                <w:color w:val="auto"/>
                <w:spacing w:val="0"/>
                <w:w w:val="100"/>
                <w:kern w:val="21"/>
                <w:position w:val="0"/>
                <w:sz w:val="21"/>
                <w:szCs w:val="21"/>
                <w:u w:val="none"/>
              </w:rPr>
              <w:t>水体比例</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w:t>
            </w:r>
            <w:r>
              <w:rPr>
                <w:rFonts w:hint="default" w:ascii="Times New Roman" w:hAnsi="Times New Roman" w:eastAsia="仿宋_GB2312" w:cs="Times New Roman"/>
                <w:color w:val="auto"/>
                <w:spacing w:val="0"/>
                <w:w w:val="100"/>
                <w:kern w:val="21"/>
                <w:position w:val="0"/>
                <w:sz w:val="21"/>
                <w:szCs w:val="21"/>
                <w:u w:val="none"/>
                <w:lang w:eastAsia="zh-CN"/>
              </w:rPr>
              <w:t>）</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0E271800">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583" w:type="pct"/>
            <w:vMerge w:val="continue"/>
            <w:tcBorders>
              <w:left w:val="single" w:color="auto" w:sz="4" w:space="0"/>
              <w:right w:val="single" w:color="auto" w:sz="4" w:space="0"/>
            </w:tcBorders>
            <w:shd w:val="clear" w:color="auto" w:fill="auto"/>
            <w:vAlign w:val="center"/>
          </w:tcPr>
          <w:p w14:paraId="6E22327B">
            <w:pPr>
              <w:pStyle w:val="1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lang w:val="en-US" w:eastAsia="en-US" w:bidi="ar-SA"/>
              </w:rPr>
            </w:pPr>
          </w:p>
        </w:tc>
        <w:tc>
          <w:tcPr>
            <w:tcW w:w="723" w:type="pct"/>
            <w:tcBorders>
              <w:top w:val="single" w:color="auto" w:sz="4" w:space="0"/>
              <w:left w:val="single" w:color="auto" w:sz="4" w:space="0"/>
              <w:bottom w:val="single" w:color="auto" w:sz="4" w:space="0"/>
              <w:right w:val="single" w:color="auto" w:sz="4" w:space="0"/>
            </w:tcBorders>
            <w:shd w:val="clear" w:color="auto" w:fill="auto"/>
            <w:vAlign w:val="center"/>
          </w:tcPr>
          <w:p w14:paraId="172DABF0">
            <w:pPr>
              <w:pStyle w:val="1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w:t>
            </w:r>
          </w:p>
        </w:tc>
        <w:tc>
          <w:tcPr>
            <w:tcW w:w="536" w:type="pct"/>
            <w:tcBorders>
              <w:left w:val="single" w:color="auto" w:sz="4" w:space="0"/>
              <w:right w:val="single" w:color="231F20" w:sz="6" w:space="0"/>
            </w:tcBorders>
            <w:shd w:val="clear" w:color="auto" w:fill="auto"/>
            <w:vAlign w:val="center"/>
          </w:tcPr>
          <w:p w14:paraId="775E6B7F">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约束性</w:t>
            </w:r>
          </w:p>
        </w:tc>
      </w:tr>
      <w:tr w14:paraId="771DC9E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6" w:hRule="atLeast"/>
          <w:jc w:val="center"/>
        </w:trPr>
        <w:tc>
          <w:tcPr>
            <w:tcW w:w="2489" w:type="pct"/>
            <w:gridSpan w:val="2"/>
            <w:tcBorders>
              <w:left w:val="single" w:color="231F20" w:sz="6" w:space="0"/>
              <w:right w:val="single" w:color="auto" w:sz="4" w:space="0"/>
            </w:tcBorders>
            <w:shd w:val="clear" w:color="auto" w:fill="auto"/>
            <w:vAlign w:val="center"/>
          </w:tcPr>
          <w:p w14:paraId="3E989BD3">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lang w:eastAsia="zh-CN"/>
              </w:rPr>
              <w:t>（1</w:t>
            </w:r>
            <w:r>
              <w:rPr>
                <w:rFonts w:hint="default" w:ascii="Times New Roman" w:hAnsi="Times New Roman" w:eastAsia="仿宋_GB2312" w:cs="Times New Roman"/>
                <w:color w:val="auto"/>
                <w:spacing w:val="0"/>
                <w:w w:val="100"/>
                <w:kern w:val="21"/>
                <w:position w:val="0"/>
                <w:sz w:val="21"/>
                <w:szCs w:val="21"/>
                <w:u w:val="none"/>
                <w:lang w:val="en-US" w:eastAsia="zh-CN"/>
              </w:rPr>
              <w:t>8</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森林覆盖率</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w:t>
            </w:r>
            <w:r>
              <w:rPr>
                <w:rFonts w:hint="default" w:ascii="Times New Roman" w:hAnsi="Times New Roman" w:eastAsia="仿宋_GB2312" w:cs="Times New Roman"/>
                <w:color w:val="auto"/>
                <w:spacing w:val="0"/>
                <w:w w:val="100"/>
                <w:kern w:val="21"/>
                <w:position w:val="0"/>
                <w:sz w:val="21"/>
                <w:szCs w:val="21"/>
                <w:u w:val="none"/>
                <w:lang w:eastAsia="zh-CN"/>
              </w:rPr>
              <w:t>）</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020191D1">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83" w:type="pct"/>
            <w:vMerge w:val="continue"/>
            <w:tcBorders>
              <w:left w:val="single" w:color="auto" w:sz="4" w:space="0"/>
              <w:bottom w:val="single" w:color="auto" w:sz="4" w:space="0"/>
              <w:right w:val="single" w:color="auto" w:sz="4" w:space="0"/>
            </w:tcBorders>
            <w:shd w:val="clear" w:color="auto" w:fill="auto"/>
            <w:vAlign w:val="center"/>
          </w:tcPr>
          <w:p w14:paraId="50DB18FE">
            <w:pPr>
              <w:pStyle w:val="1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p>
        </w:tc>
        <w:tc>
          <w:tcPr>
            <w:tcW w:w="723" w:type="pct"/>
            <w:tcBorders>
              <w:top w:val="single" w:color="auto" w:sz="4" w:space="0"/>
              <w:left w:val="single" w:color="auto" w:sz="4" w:space="0"/>
              <w:bottom w:val="single" w:color="auto" w:sz="4" w:space="0"/>
              <w:right w:val="single" w:color="auto" w:sz="4" w:space="0"/>
            </w:tcBorders>
            <w:shd w:val="clear" w:color="auto" w:fill="auto"/>
            <w:vAlign w:val="center"/>
          </w:tcPr>
          <w:p w14:paraId="3D707060">
            <w:pPr>
              <w:pStyle w:val="1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w:t>
            </w:r>
          </w:p>
        </w:tc>
        <w:tc>
          <w:tcPr>
            <w:tcW w:w="536" w:type="pct"/>
            <w:tcBorders>
              <w:left w:val="single" w:color="auto" w:sz="4" w:space="0"/>
              <w:right w:val="single" w:color="231F20" w:sz="6" w:space="0"/>
            </w:tcBorders>
            <w:shd w:val="clear" w:color="auto" w:fill="auto"/>
            <w:vAlign w:val="center"/>
          </w:tcPr>
          <w:p w14:paraId="250F3904">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约束性</w:t>
            </w:r>
          </w:p>
        </w:tc>
      </w:tr>
      <w:tr w14:paraId="3E2E6FE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6" w:hRule="atLeast"/>
          <w:jc w:val="center"/>
        </w:trPr>
        <w:tc>
          <w:tcPr>
            <w:tcW w:w="5000" w:type="pct"/>
            <w:gridSpan w:val="6"/>
            <w:tcBorders>
              <w:left w:val="single" w:color="231F20" w:sz="6" w:space="0"/>
              <w:right w:val="single" w:color="231F20" w:sz="6" w:space="0"/>
            </w:tcBorders>
            <w:shd w:val="clear" w:color="auto" w:fill="auto"/>
            <w:vAlign w:val="center"/>
          </w:tcPr>
          <w:p w14:paraId="12861B25">
            <w:pPr>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left"/>
              <w:textAlignment w:val="auto"/>
            </w:pPr>
            <w:r>
              <w:rPr>
                <w:rFonts w:hint="default" w:ascii="Times New Roman" w:hAnsi="Times New Roman" w:eastAsia="仿宋_GB2312" w:cs="Times New Roman"/>
                <w:b/>
                <w:bCs/>
                <w:color w:val="auto"/>
                <w:spacing w:val="0"/>
                <w:w w:val="100"/>
                <w:kern w:val="21"/>
                <w:position w:val="0"/>
                <w:sz w:val="21"/>
                <w:szCs w:val="21"/>
                <w:u w:val="none"/>
              </w:rPr>
              <w:t>安全保障</w:t>
            </w:r>
          </w:p>
        </w:tc>
      </w:tr>
      <w:tr w14:paraId="01C7ABF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6" w:hRule="atLeast"/>
          <w:jc w:val="center"/>
        </w:trPr>
        <w:tc>
          <w:tcPr>
            <w:tcW w:w="2489" w:type="pct"/>
            <w:gridSpan w:val="2"/>
            <w:tcBorders>
              <w:left w:val="single" w:color="231F20" w:sz="6" w:space="0"/>
            </w:tcBorders>
            <w:shd w:val="clear" w:color="auto" w:fill="auto"/>
            <w:vAlign w:val="center"/>
          </w:tcPr>
          <w:p w14:paraId="78A24F7D">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19</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粮食综合生产能力</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亿斤</w:t>
            </w:r>
            <w:r>
              <w:rPr>
                <w:rFonts w:hint="default" w:ascii="Times New Roman" w:hAnsi="Times New Roman" w:eastAsia="仿宋_GB2312" w:cs="Times New Roman"/>
                <w:color w:val="auto"/>
                <w:spacing w:val="0"/>
                <w:w w:val="100"/>
                <w:kern w:val="21"/>
                <w:position w:val="0"/>
                <w:sz w:val="21"/>
                <w:szCs w:val="21"/>
                <w:u w:val="none"/>
                <w:lang w:eastAsia="zh-CN"/>
              </w:rPr>
              <w:t>）</w:t>
            </w:r>
          </w:p>
        </w:tc>
        <w:tc>
          <w:tcPr>
            <w:tcW w:w="667" w:type="pct"/>
            <w:shd w:val="clear" w:color="auto" w:fill="auto"/>
            <w:vAlign w:val="center"/>
          </w:tcPr>
          <w:p w14:paraId="599D85C3">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4.24</w:t>
            </w:r>
          </w:p>
        </w:tc>
        <w:tc>
          <w:tcPr>
            <w:tcW w:w="583" w:type="pct"/>
            <w:shd w:val="clear" w:color="auto" w:fill="auto"/>
            <w:vAlign w:val="center"/>
          </w:tcPr>
          <w:p w14:paraId="2C343FCE">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4.41</w:t>
            </w:r>
          </w:p>
        </w:tc>
        <w:tc>
          <w:tcPr>
            <w:tcW w:w="723" w:type="pct"/>
            <w:shd w:val="clear" w:color="auto" w:fill="auto"/>
            <w:vAlign w:val="center"/>
          </w:tcPr>
          <w:p w14:paraId="208B3D90">
            <w:pPr>
              <w:keepNext w:val="0"/>
              <w:keepLines w:val="0"/>
              <w:pageBreakBefore w:val="0"/>
              <w:widowControl/>
              <w:suppressLineNumbers w:val="0"/>
              <w:kinsoku/>
              <w:wordWrap/>
              <w:overflowPunct/>
              <w:topLinePunct w:val="0"/>
              <w:autoSpaceDE/>
              <w:autoSpaceDN/>
              <w:bidi w:val="0"/>
              <w:snapToGrid w:val="0"/>
              <w:spacing w:line="240" w:lineRule="exact"/>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36" w:type="pct"/>
            <w:tcBorders>
              <w:right w:val="single" w:color="231F20" w:sz="6" w:space="0"/>
            </w:tcBorders>
            <w:shd w:val="clear" w:color="auto" w:fill="auto"/>
            <w:vAlign w:val="center"/>
          </w:tcPr>
          <w:p w14:paraId="458F5493">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约束性</w:t>
            </w:r>
          </w:p>
        </w:tc>
      </w:tr>
      <w:tr w14:paraId="6AC06D5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54" w:hRule="atLeast"/>
          <w:jc w:val="center"/>
        </w:trPr>
        <w:tc>
          <w:tcPr>
            <w:tcW w:w="2489" w:type="pct"/>
            <w:gridSpan w:val="2"/>
            <w:tcBorders>
              <w:left w:val="single" w:color="231F20" w:sz="6" w:space="0"/>
              <w:bottom w:val="single" w:color="231F20" w:sz="6" w:space="0"/>
            </w:tcBorders>
            <w:shd w:val="clear" w:color="auto" w:fill="auto"/>
            <w:vAlign w:val="center"/>
          </w:tcPr>
          <w:p w14:paraId="56082F5A">
            <w:pPr>
              <w:pStyle w:val="19"/>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both"/>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20</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rPr>
              <w:t>能源综合生产能力</w:t>
            </w:r>
            <w:r>
              <w:rPr>
                <w:rFonts w:hint="default" w:ascii="Times New Roman" w:hAnsi="Times New Roman" w:eastAsia="仿宋_GB2312" w:cs="Times New Roman"/>
                <w:color w:val="auto"/>
                <w:spacing w:val="0"/>
                <w:w w:val="100"/>
                <w:kern w:val="21"/>
                <w:position w:val="0"/>
                <w:sz w:val="21"/>
                <w:szCs w:val="21"/>
                <w:u w:val="none"/>
                <w:lang w:eastAsia="zh-CN"/>
              </w:rPr>
              <w:t>（</w:t>
            </w:r>
            <w:r>
              <w:rPr>
                <w:rFonts w:hint="default" w:ascii="Times New Roman" w:hAnsi="Times New Roman" w:eastAsia="仿宋_GB2312" w:cs="Times New Roman"/>
                <w:color w:val="auto"/>
                <w:spacing w:val="0"/>
                <w:w w:val="100"/>
                <w:kern w:val="21"/>
                <w:position w:val="0"/>
                <w:sz w:val="21"/>
                <w:szCs w:val="21"/>
                <w:u w:val="none"/>
                <w:lang w:val="en-US" w:eastAsia="zh-CN"/>
              </w:rPr>
              <w:t>万</w:t>
            </w:r>
            <w:r>
              <w:rPr>
                <w:rFonts w:hint="default" w:ascii="Times New Roman" w:hAnsi="Times New Roman" w:eastAsia="仿宋_GB2312" w:cs="Times New Roman"/>
                <w:color w:val="auto"/>
                <w:spacing w:val="0"/>
                <w:w w:val="100"/>
                <w:kern w:val="21"/>
                <w:position w:val="0"/>
                <w:sz w:val="21"/>
                <w:szCs w:val="21"/>
                <w:u w:val="none"/>
              </w:rPr>
              <w:t>吨标准煤</w:t>
            </w:r>
            <w:r>
              <w:rPr>
                <w:rFonts w:hint="default" w:ascii="Times New Roman" w:hAnsi="Times New Roman" w:eastAsia="仿宋_GB2312" w:cs="Times New Roman"/>
                <w:color w:val="auto"/>
                <w:spacing w:val="0"/>
                <w:w w:val="100"/>
                <w:kern w:val="21"/>
                <w:position w:val="0"/>
                <w:sz w:val="21"/>
                <w:szCs w:val="21"/>
                <w:u w:val="none"/>
                <w:lang w:eastAsia="zh-CN"/>
              </w:rPr>
              <w:t>）</w:t>
            </w:r>
          </w:p>
        </w:tc>
        <w:tc>
          <w:tcPr>
            <w:tcW w:w="667" w:type="pct"/>
            <w:tcBorders>
              <w:bottom w:val="single" w:color="231F20" w:sz="6" w:space="0"/>
            </w:tcBorders>
            <w:shd w:val="clear" w:color="auto" w:fill="auto"/>
            <w:vAlign w:val="center"/>
          </w:tcPr>
          <w:p w14:paraId="189AEE8F">
            <w:pPr>
              <w:pStyle w:val="1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lang w:val="en-US"/>
              </w:rPr>
            </w:pPr>
            <w:r>
              <w:rPr>
                <w:rFonts w:hint="eastAsia" w:ascii="Times New Roman" w:hAnsi="Times New Roman" w:eastAsia="宋体" w:cs="Times New Roman"/>
                <w:i w:val="0"/>
                <w:iCs w:val="0"/>
                <w:color w:val="000000"/>
                <w:kern w:val="0"/>
                <w:sz w:val="21"/>
                <w:szCs w:val="21"/>
                <w:u w:val="none"/>
                <w:lang w:val="en-US" w:eastAsia="zh-CN" w:bidi="ar"/>
              </w:rPr>
              <w:t>5.6</w:t>
            </w:r>
          </w:p>
        </w:tc>
        <w:tc>
          <w:tcPr>
            <w:tcW w:w="583" w:type="pct"/>
            <w:tcBorders>
              <w:bottom w:val="single" w:color="231F20" w:sz="6" w:space="0"/>
            </w:tcBorders>
            <w:shd w:val="clear" w:color="auto" w:fill="auto"/>
            <w:vAlign w:val="center"/>
          </w:tcPr>
          <w:p w14:paraId="074C7871">
            <w:pPr>
              <w:pStyle w:val="1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6</w:t>
            </w:r>
          </w:p>
        </w:tc>
        <w:tc>
          <w:tcPr>
            <w:tcW w:w="723" w:type="pct"/>
            <w:tcBorders>
              <w:bottom w:val="single" w:color="231F20" w:sz="6" w:space="0"/>
            </w:tcBorders>
            <w:shd w:val="clear" w:color="auto" w:fill="auto"/>
            <w:vAlign w:val="center"/>
          </w:tcPr>
          <w:p w14:paraId="2CD19C33">
            <w:pPr>
              <w:pStyle w:val="1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w:t>
            </w:r>
          </w:p>
        </w:tc>
        <w:tc>
          <w:tcPr>
            <w:tcW w:w="536" w:type="pct"/>
            <w:tcBorders>
              <w:bottom w:val="single" w:color="231F20" w:sz="6" w:space="0"/>
              <w:right w:val="single" w:color="231F20" w:sz="6" w:space="0"/>
            </w:tcBorders>
            <w:shd w:val="clear" w:color="auto" w:fill="auto"/>
            <w:vAlign w:val="center"/>
          </w:tcPr>
          <w:p w14:paraId="02D0731F">
            <w:pPr>
              <w:keepNext w:val="0"/>
              <w:keepLines w:val="0"/>
              <w:pageBreakBefore w:val="0"/>
              <w:widowControl w:val="0"/>
              <w:kinsoku/>
              <w:wordWrap/>
              <w:overflowPunct/>
              <w:topLinePunct w:val="0"/>
              <w:autoSpaceDE/>
              <w:autoSpaceDN/>
              <w:bidi w:val="0"/>
              <w:adjustRightInd w:val="0"/>
              <w:snapToGrid w:val="0"/>
              <w:spacing w:line="240" w:lineRule="exact"/>
              <w:ind w:left="0" w:right="0" w:firstLine="0" w:firstLineChars="0"/>
              <w:jc w:val="center"/>
              <w:textAlignment w:val="auto"/>
              <w:rPr>
                <w:rFonts w:hint="default" w:ascii="Times New Roman" w:hAnsi="Times New Roman" w:eastAsia="仿宋_GB2312" w:cs="Times New Roman"/>
                <w:color w:val="auto"/>
                <w:spacing w:val="0"/>
                <w:w w:val="100"/>
                <w:kern w:val="21"/>
                <w:position w:val="0"/>
                <w:sz w:val="21"/>
                <w:szCs w:val="21"/>
                <w:u w:val="none"/>
              </w:rPr>
            </w:pPr>
            <w:r>
              <w:rPr>
                <w:rFonts w:hint="default" w:ascii="Times New Roman" w:hAnsi="Times New Roman" w:eastAsia="仿宋_GB2312" w:cs="Times New Roman"/>
                <w:color w:val="auto"/>
                <w:spacing w:val="0"/>
                <w:w w:val="100"/>
                <w:kern w:val="21"/>
                <w:position w:val="0"/>
                <w:sz w:val="21"/>
                <w:szCs w:val="21"/>
                <w:u w:val="none"/>
              </w:rPr>
              <w:t>约束性</w:t>
            </w:r>
          </w:p>
        </w:tc>
      </w:tr>
    </w:tbl>
    <w:p w14:paraId="72E7CE71">
      <w:pPr>
        <w:rPr>
          <w:rFonts w:hint="default" w:ascii="Times New Roman" w:hAnsi="Times New Roman" w:eastAsia="方正小标宋简体" w:cs="Times New Roman"/>
          <w:b w:val="0"/>
          <w:bCs/>
          <w:kern w:val="21"/>
          <w:sz w:val="44"/>
          <w:szCs w:val="44"/>
          <w:lang w:val="en-US" w:eastAsia="zh-CN"/>
        </w:rPr>
      </w:pPr>
      <w:r>
        <w:rPr>
          <w:rFonts w:hint="default" w:ascii="Times New Roman" w:hAnsi="Times New Roman" w:eastAsia="方正小标宋简体" w:cs="Times New Roman"/>
          <w:b w:val="0"/>
          <w:bCs/>
          <w:kern w:val="21"/>
          <w:sz w:val="44"/>
          <w:szCs w:val="44"/>
          <w:lang w:val="en-US" w:eastAsia="zh-CN"/>
        </w:rPr>
        <w:br w:type="page"/>
      </w:r>
    </w:p>
    <w:p w14:paraId="0F05C4C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80" w:lineRule="exact"/>
        <w:jc w:val="both"/>
        <w:textAlignment w:val="auto"/>
        <w:outlineLvl w:val="0"/>
        <w:rPr>
          <w:rFonts w:hint="eastAsia" w:ascii="黑体" w:hAnsi="黑体" w:eastAsia="黑体" w:cs="黑体"/>
          <w:b w:val="0"/>
          <w:bCs/>
          <w:kern w:val="21"/>
          <w:sz w:val="32"/>
          <w:szCs w:val="32"/>
          <w:lang w:val="en-US" w:eastAsia="zh-CN"/>
        </w:rPr>
      </w:pPr>
    </w:p>
    <w:p w14:paraId="7708B9C0">
      <w:pPr>
        <w:keepNext w:val="0"/>
        <w:keepLines w:val="0"/>
        <w:pageBreakBefore w:val="0"/>
        <w:widowControl w:val="0"/>
        <w:numPr>
          <w:ilvl w:val="0"/>
          <w:numId w:val="2"/>
        </w:numPr>
        <w:kinsoku/>
        <w:wordWrap/>
        <w:overflowPunct/>
        <w:topLinePunct w:val="0"/>
        <w:autoSpaceDE/>
        <w:autoSpaceDN/>
        <w:bidi w:val="0"/>
        <w:adjustRightInd w:val="0"/>
        <w:snapToGrid w:val="0"/>
        <w:spacing w:beforeAutospacing="0" w:afterAutospacing="0" w:line="580" w:lineRule="exact"/>
        <w:ind w:firstLine="0" w:firstLineChars="0"/>
        <w:jc w:val="center"/>
        <w:textAlignment w:val="auto"/>
        <w:outlineLvl w:val="0"/>
        <w:rPr>
          <w:rFonts w:hint="eastAsia" w:ascii="黑体" w:hAnsi="黑体" w:eastAsia="黑体" w:cs="黑体"/>
          <w:b w:val="0"/>
          <w:bCs/>
          <w:kern w:val="21"/>
          <w:sz w:val="32"/>
          <w:szCs w:val="32"/>
          <w:lang w:val="en-US" w:eastAsia="zh-CN"/>
        </w:rPr>
      </w:pPr>
      <w:r>
        <w:rPr>
          <w:rFonts w:hint="eastAsia" w:ascii="黑体" w:hAnsi="黑体" w:eastAsia="黑体" w:cs="黑体"/>
          <w:b w:val="0"/>
          <w:bCs/>
          <w:kern w:val="21"/>
          <w:sz w:val="32"/>
          <w:szCs w:val="32"/>
          <w:lang w:val="en-US" w:eastAsia="zh-CN"/>
        </w:rPr>
        <w:t xml:space="preserve"> </w:t>
      </w:r>
      <w:bookmarkStart w:id="19" w:name="_Toc1438687758"/>
      <w:r>
        <w:rPr>
          <w:rFonts w:hint="eastAsia" w:ascii="黑体" w:hAnsi="黑体" w:eastAsia="黑体" w:cs="黑体"/>
          <w:b w:val="0"/>
          <w:bCs/>
          <w:kern w:val="21"/>
          <w:sz w:val="32"/>
          <w:szCs w:val="32"/>
          <w:lang w:val="en-US" w:eastAsia="zh-CN"/>
        </w:rPr>
        <w:t>构建现代化产业体系，筑牢实体经济根基</w:t>
      </w:r>
      <w:bookmarkEnd w:id="19"/>
    </w:p>
    <w:p w14:paraId="36425C13">
      <w:pPr>
        <w:keepNext w:val="0"/>
        <w:keepLines w:val="0"/>
        <w:pageBreakBefore w:val="0"/>
        <w:widowControl w:val="0"/>
        <w:kinsoku/>
        <w:wordWrap/>
        <w:overflowPunct/>
        <w:topLinePunct w:val="0"/>
        <w:autoSpaceDE/>
        <w:autoSpaceDN/>
        <w:bidi w:val="0"/>
        <w:adjustRightInd/>
        <w:snapToGrid/>
        <w:spacing w:before="313" w:beforeLines="100" w:line="580" w:lineRule="exact"/>
        <w:ind w:left="0" w:leftChars="0" w:firstLine="64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坚持把发展经济的着力点放在实体经济上，突出工业经济发展，以智能化、绿色化、融合化为方向，深入推动产业能级跃升，因地制宜发展新质生产力，为建设现代化强区筑牢产业根基。到2030年，全区规模以上工业总产值突破400亿元。</w:t>
      </w:r>
    </w:p>
    <w:p w14:paraId="17B5CEEC">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20" w:name="_Toc1877332914"/>
      <w:r>
        <w:rPr>
          <w:rFonts w:hint="eastAsia" w:ascii="楷体_GB2312" w:hAnsi="楷体_GB2312" w:eastAsia="楷体_GB2312" w:cs="楷体_GB2312"/>
          <w:kern w:val="21"/>
          <w:sz w:val="32"/>
          <w:szCs w:val="32"/>
          <w:highlight w:val="none"/>
          <w:lang w:val="en-US" w:eastAsia="zh-CN"/>
        </w:rPr>
        <w:t>第一节  聚力优势产业提质增效</w:t>
      </w:r>
      <w:bookmarkEnd w:id="20"/>
    </w:p>
    <w:p w14:paraId="65D1D87D">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坚持以创新驱动为内核、以集群发展</w:t>
      </w:r>
      <w:r>
        <w:rPr>
          <w:rFonts w:hint="eastAsia" w:ascii="Times New Roman" w:hAnsi="Times New Roman" w:cs="Times New Roman"/>
          <w:b w:val="0"/>
          <w:bCs w:val="0"/>
          <w:lang w:val="en-US" w:eastAsia="zh-CN"/>
        </w:rPr>
        <w:t>为</w:t>
      </w:r>
      <w:r>
        <w:rPr>
          <w:rFonts w:hint="default" w:ascii="Times New Roman" w:hAnsi="Times New Roman" w:cs="Times New Roman"/>
          <w:b w:val="0"/>
          <w:bCs w:val="0"/>
          <w:lang w:val="en-US" w:eastAsia="zh-CN"/>
        </w:rPr>
        <w:t>路径、以绿色低碳为导向，推动产业从规模扩张向质效提升转型，持续增强产业核心竞争力。</w:t>
      </w:r>
    </w:p>
    <w:p w14:paraId="6C8286DB">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rPr>
      </w:pPr>
      <w:r>
        <w:rPr>
          <w:rFonts w:hint="eastAsia" w:ascii="楷体_GB2312" w:hAnsi="楷体_GB2312" w:eastAsia="楷体_GB2312" w:cs="楷体_GB2312"/>
          <w:b w:val="0"/>
          <w:bCs w:val="0"/>
          <w:lang w:val="en-US" w:eastAsia="zh-CN"/>
        </w:rPr>
        <w:t>化工新材料。</w:t>
      </w:r>
      <w:r>
        <w:rPr>
          <w:rFonts w:hint="default" w:ascii="Times New Roman" w:hAnsi="Times New Roman" w:eastAsia="仿宋_GB2312" w:cs="Times New Roman"/>
          <w:color w:val="auto"/>
          <w:sz w:val="32"/>
          <w:szCs w:val="32"/>
          <w:highlight w:val="none"/>
          <w:u w:val="none" w:color="auto"/>
        </w:rPr>
        <w:t>坚持高端化、精细化、</w:t>
      </w:r>
      <w:r>
        <w:rPr>
          <w:rFonts w:hint="default" w:ascii="Times New Roman" w:hAnsi="Times New Roman" w:eastAsia="仿宋_GB2312" w:cs="Times New Roman"/>
          <w:color w:val="auto"/>
          <w:sz w:val="32"/>
          <w:szCs w:val="32"/>
          <w:highlight w:val="none"/>
          <w:u w:val="none" w:color="auto"/>
          <w:lang w:val="en-US" w:eastAsia="zh-CN"/>
        </w:rPr>
        <w:t>特色化</w:t>
      </w:r>
      <w:r>
        <w:rPr>
          <w:rFonts w:hint="default" w:ascii="Times New Roman" w:hAnsi="Times New Roman" w:cs="Times New Roman"/>
          <w:color w:val="auto"/>
          <w:sz w:val="32"/>
          <w:szCs w:val="32"/>
          <w:highlight w:val="none"/>
          <w:u w:val="none" w:color="auto"/>
          <w:lang w:eastAsia="zh-CN"/>
        </w:rPr>
        <w:t>，</w:t>
      </w:r>
      <w:r>
        <w:rPr>
          <w:rFonts w:hint="default" w:ascii="Times New Roman" w:hAnsi="Times New Roman" w:cs="Times New Roman"/>
          <w:b w:val="0"/>
          <w:bCs w:val="0"/>
          <w:lang w:val="en-US" w:eastAsia="zh-CN"/>
        </w:rPr>
        <w:t>以创新驱动为核心，做大做强</w:t>
      </w:r>
      <w:r>
        <w:rPr>
          <w:rFonts w:hint="eastAsia" w:ascii="Times New Roman" w:hAnsi="Times New Roman" w:cs="Times New Roman"/>
          <w:b w:val="0"/>
          <w:bCs w:val="0"/>
          <w:lang w:val="en-US" w:eastAsia="zh-CN"/>
        </w:rPr>
        <w:t>化工新材料</w:t>
      </w:r>
      <w:r>
        <w:rPr>
          <w:rFonts w:hint="default" w:ascii="Times New Roman" w:hAnsi="Times New Roman" w:cs="Times New Roman"/>
          <w:b w:val="0"/>
          <w:bCs w:val="0"/>
          <w:lang w:val="en-US" w:eastAsia="zh-CN"/>
        </w:rPr>
        <w:t>产业。</w:t>
      </w:r>
      <w:r>
        <w:rPr>
          <w:rFonts w:hint="default" w:ascii="Times New Roman" w:hAnsi="Times New Roman" w:cs="Times New Roman"/>
          <w:lang w:val="en-US" w:eastAsia="zh-CN"/>
        </w:rPr>
        <w:t>以</w:t>
      </w:r>
      <w:r>
        <w:rPr>
          <w:rFonts w:hint="default" w:ascii="Times New Roman" w:hAnsi="Times New Roman" w:cs="Times New Roman"/>
        </w:rPr>
        <w:t>薛城化工产业园</w:t>
      </w:r>
      <w:r>
        <w:rPr>
          <w:rFonts w:hint="default" w:ascii="Times New Roman" w:hAnsi="Times New Roman" w:cs="Times New Roman"/>
          <w:lang w:val="en-US" w:eastAsia="zh-CN"/>
        </w:rPr>
        <w:t>为</w:t>
      </w:r>
      <w:r>
        <w:rPr>
          <w:rFonts w:hint="default" w:ascii="Times New Roman" w:hAnsi="Times New Roman" w:cs="Times New Roman"/>
        </w:rPr>
        <w:t>载体，加快</w:t>
      </w:r>
      <w:r>
        <w:rPr>
          <w:rFonts w:hint="default" w:ascii="Times New Roman" w:hAnsi="Times New Roman" w:cs="Times New Roman"/>
          <w:lang w:val="en-US" w:eastAsia="zh-CN"/>
        </w:rPr>
        <w:t>推动扩区</w:t>
      </w:r>
      <w:r>
        <w:rPr>
          <w:rFonts w:hint="default" w:ascii="Times New Roman" w:hAnsi="Times New Roman" w:cs="Times New Roman"/>
        </w:rPr>
        <w:t>调区</w:t>
      </w:r>
      <w:r>
        <w:rPr>
          <w:rFonts w:hint="default" w:ascii="Times New Roman" w:hAnsi="Times New Roman" w:cs="Times New Roman"/>
          <w:lang w:eastAsia="zh-CN"/>
        </w:rPr>
        <w:t>，</w:t>
      </w:r>
      <w:r>
        <w:rPr>
          <w:rFonts w:hint="default" w:ascii="Times New Roman" w:hAnsi="Times New Roman" w:cs="Times New Roman"/>
          <w:lang w:val="en-US" w:eastAsia="zh-CN"/>
        </w:rPr>
        <w:t>扩大园区规模，优化园区布局，拓展发展空间，提高园区管理水平。以潍焦集团为链主，围绕</w:t>
      </w:r>
      <w:r>
        <w:rPr>
          <w:rFonts w:hint="default" w:ascii="Times New Roman" w:hAnsi="Times New Roman" w:cs="Times New Roman"/>
        </w:rPr>
        <w:t>煤焦油深加工、煤气综合利用、苯精深加工</w:t>
      </w:r>
      <w:r>
        <w:rPr>
          <w:rFonts w:hint="default" w:ascii="Times New Roman" w:hAnsi="Times New Roman" w:cs="Times New Roman"/>
          <w:lang w:val="en-US" w:eastAsia="zh-CN"/>
        </w:rPr>
        <w:t>产业链，推动产业向精细化工和化工新材料延伸，</w:t>
      </w:r>
      <w:r>
        <w:rPr>
          <w:rFonts w:hint="default" w:ascii="Times New Roman" w:hAnsi="Times New Roman" w:cs="Times New Roman"/>
        </w:rPr>
        <w:t>构建“</w:t>
      </w:r>
      <w:r>
        <w:rPr>
          <w:rFonts w:hint="default" w:ascii="Times New Roman" w:hAnsi="Times New Roman" w:cs="Times New Roman"/>
          <w:lang w:val="en-US" w:eastAsia="zh-CN"/>
        </w:rPr>
        <w:t>煤化工</w:t>
      </w:r>
      <w:r>
        <w:rPr>
          <w:rFonts w:hint="eastAsia" w:ascii="Times New Roman" w:hAnsi="Times New Roman" w:cs="Times New Roman"/>
          <w:lang w:eastAsia="zh-CN"/>
        </w:rPr>
        <w:t>—</w:t>
      </w:r>
      <w:r>
        <w:rPr>
          <w:rFonts w:hint="default" w:ascii="Times New Roman" w:hAnsi="Times New Roman" w:cs="Times New Roman"/>
          <w:lang w:val="en-US" w:eastAsia="zh-CN"/>
        </w:rPr>
        <w:t>精细化工</w:t>
      </w:r>
      <w:r>
        <w:rPr>
          <w:rFonts w:hint="eastAsia" w:ascii="Times New Roman" w:hAnsi="Times New Roman" w:cs="Times New Roman"/>
          <w:lang w:eastAsia="zh-CN"/>
        </w:rPr>
        <w:t>—</w:t>
      </w:r>
      <w:r>
        <w:rPr>
          <w:rFonts w:hint="default" w:ascii="Times New Roman" w:hAnsi="Times New Roman" w:cs="Times New Roman"/>
          <w:lang w:val="en-US" w:eastAsia="zh-CN"/>
        </w:rPr>
        <w:t>化工新材料</w:t>
      </w:r>
      <w:r>
        <w:rPr>
          <w:rFonts w:hint="default" w:ascii="Times New Roman" w:hAnsi="Times New Roman" w:cs="Times New Roman"/>
        </w:rPr>
        <w:t>”</w:t>
      </w:r>
      <w:r>
        <w:rPr>
          <w:rFonts w:hint="default" w:ascii="Times New Roman" w:hAnsi="Times New Roman" w:cs="Times New Roman"/>
          <w:lang w:val="en-US" w:eastAsia="zh-CN"/>
        </w:rPr>
        <w:t>产业生态</w:t>
      </w:r>
      <w:r>
        <w:rPr>
          <w:rFonts w:hint="default" w:ascii="Times New Roman" w:hAnsi="Times New Roman" w:cs="Times New Roman"/>
        </w:rPr>
        <w:t>。</w:t>
      </w:r>
      <w:r>
        <w:rPr>
          <w:rFonts w:hint="default" w:ascii="Times New Roman" w:hAnsi="Times New Roman" w:eastAsia="仿宋_GB2312" w:cs="Times New Roman"/>
          <w:color w:val="000000"/>
          <w:kern w:val="0"/>
          <w:sz w:val="32"/>
          <w:szCs w:val="32"/>
          <w:lang w:val="en-US" w:eastAsia="zh-CN" w:bidi="ar"/>
        </w:rPr>
        <w:t>煤焦油深加工产业链向精细化发展，开拓煤焦油深加工下游产品的用途和价值，发展苯酐、特种炭黑、染料中间体、精萘、精蒽、蒽醌、喹啉、咔唑等深加工产品；推动煤焦油沥青深加工，鼓励发展煤焦油加氢、针状焦、超高功率电极、锂离子电池负极用石墨、高性能沥青碳纤维、纺丝沥青、沥青球状活性炭等静压石墨及中间相碳微球等高附加值产品；加强与生物医药企业互动，拓展精细化工产品在医药中间体、药物载体等领域的应用。粗苯深加工产业链向新材料方向延伸，延长粗苯深加工产业链，通过粗苯加氢技术生产苯、甲苯、二甲苯等芳烃产品，促进与煤制烯烃产业链结合，发展工程尼龙、非结晶型共聚酯、聚酰亚胺纤维等高性能材料、功能纤维；鼓励发展精苯加氢精制环己酮、己二酸、己内酰胺等产品，并进一步向尼龙6等系列产品延伸；鼓励开发环己酮下游产品己内</w:t>
      </w:r>
      <w:r>
        <w:rPr>
          <w:rFonts w:hint="default" w:ascii="Times New Roman" w:hAnsi="Times New Roman" w:cs="Times New Roman"/>
          <w:color w:val="000000"/>
          <w:kern w:val="0"/>
          <w:sz w:val="32"/>
          <w:szCs w:val="32"/>
          <w:lang w:val="en-US" w:eastAsia="zh-CN" w:bidi="ar"/>
        </w:rPr>
        <w:t>酯</w:t>
      </w:r>
      <w:r>
        <w:rPr>
          <w:rFonts w:hint="default" w:ascii="Times New Roman" w:hAnsi="Times New Roman" w:eastAsia="仿宋_GB2312" w:cs="Times New Roman"/>
          <w:color w:val="000000"/>
          <w:kern w:val="0"/>
          <w:sz w:val="32"/>
          <w:szCs w:val="32"/>
          <w:lang w:val="en-US" w:eastAsia="zh-CN" w:bidi="ar"/>
        </w:rPr>
        <w:t>、聚己内酯多元醇和聚己内</w:t>
      </w:r>
      <w:r>
        <w:rPr>
          <w:rFonts w:hint="default" w:ascii="Times New Roman" w:hAnsi="Times New Roman" w:cs="Times New Roman"/>
          <w:color w:val="000000"/>
          <w:kern w:val="0"/>
          <w:sz w:val="32"/>
          <w:szCs w:val="32"/>
          <w:lang w:val="en-US" w:eastAsia="zh-CN" w:bidi="ar"/>
        </w:rPr>
        <w:t>酯</w:t>
      </w:r>
      <w:r>
        <w:rPr>
          <w:rFonts w:hint="default" w:ascii="Times New Roman" w:hAnsi="Times New Roman" w:eastAsia="仿宋_GB2312" w:cs="Times New Roman"/>
          <w:color w:val="000000"/>
          <w:kern w:val="0"/>
          <w:sz w:val="32"/>
          <w:szCs w:val="32"/>
          <w:lang w:val="en-US" w:eastAsia="zh-CN" w:bidi="ar"/>
        </w:rPr>
        <w:t>等系列产品，拓展在农药、涂料、颜料、试剂与高纯物质、食品和饲料添加剂、高分子材料等行业的应用。煤气化产业链向高端化和精细化方向发展，</w:t>
      </w:r>
      <w:r>
        <w:rPr>
          <w:rFonts w:hint="default" w:ascii="Times New Roman" w:hAnsi="Times New Roman" w:cs="Times New Roman"/>
          <w:color w:val="000000"/>
          <w:kern w:val="0"/>
          <w:sz w:val="32"/>
          <w:szCs w:val="32"/>
          <w:lang w:val="en-US" w:eastAsia="zh-CN" w:bidi="ar"/>
        </w:rPr>
        <w:t>以</w:t>
      </w:r>
      <w:r>
        <w:rPr>
          <w:rFonts w:hint="default" w:ascii="Times New Roman" w:hAnsi="Times New Roman" w:eastAsia="仿宋_GB2312" w:cs="Times New Roman"/>
          <w:color w:val="000000"/>
          <w:kern w:val="0"/>
          <w:sz w:val="32"/>
          <w:szCs w:val="32"/>
          <w:lang w:val="en-US" w:eastAsia="zh-CN" w:bidi="ar"/>
        </w:rPr>
        <w:t>煤气化平台</w:t>
      </w:r>
      <w:r>
        <w:rPr>
          <w:rFonts w:hint="default" w:ascii="Times New Roman" w:hAnsi="Times New Roman" w:cs="Times New Roman"/>
          <w:color w:val="000000"/>
          <w:kern w:val="0"/>
          <w:sz w:val="32"/>
          <w:szCs w:val="32"/>
          <w:lang w:val="en-US" w:eastAsia="zh-CN" w:bidi="ar"/>
        </w:rPr>
        <w:t>为龙头</w:t>
      </w:r>
      <w:r>
        <w:rPr>
          <w:rFonts w:hint="default" w:ascii="Times New Roman" w:hAnsi="Times New Roman" w:eastAsia="仿宋_GB2312" w:cs="Times New Roman"/>
          <w:color w:val="000000"/>
          <w:kern w:val="0"/>
          <w:sz w:val="32"/>
          <w:szCs w:val="32"/>
          <w:lang w:val="en-US" w:eastAsia="zh-CN" w:bidi="ar"/>
        </w:rPr>
        <w:t>，发展</w:t>
      </w:r>
      <w:r>
        <w:rPr>
          <w:rFonts w:hint="default" w:ascii="Times New Roman" w:hAnsi="Times New Roman" w:cs="Times New Roman"/>
          <w:color w:val="000000"/>
          <w:kern w:val="0"/>
          <w:sz w:val="32"/>
          <w:szCs w:val="32"/>
          <w:lang w:val="en-US" w:eastAsia="zh-CN" w:bidi="ar"/>
        </w:rPr>
        <w:t>低变换度的</w:t>
      </w:r>
      <w:r>
        <w:rPr>
          <w:rFonts w:hint="default" w:ascii="Times New Roman" w:hAnsi="Times New Roman" w:eastAsia="仿宋_GB2312" w:cs="Times New Roman"/>
          <w:color w:val="000000"/>
          <w:kern w:val="0"/>
          <w:sz w:val="32"/>
          <w:szCs w:val="32"/>
          <w:lang w:val="en-US" w:eastAsia="zh-CN" w:bidi="ar"/>
        </w:rPr>
        <w:t>合成气下游产品，丰富高附加值产品链条，</w:t>
      </w:r>
      <w:r>
        <w:rPr>
          <w:rFonts w:hint="default" w:ascii="Times New Roman" w:hAnsi="Times New Roman" w:cs="Times New Roman"/>
          <w:color w:val="000000"/>
          <w:kern w:val="0"/>
          <w:sz w:val="32"/>
          <w:szCs w:val="32"/>
          <w:lang w:val="en-US" w:eastAsia="zh-CN" w:bidi="ar"/>
        </w:rPr>
        <w:t>培育</w:t>
      </w:r>
      <w:r>
        <w:rPr>
          <w:rFonts w:hint="default" w:ascii="Times New Roman" w:hAnsi="Times New Roman" w:eastAsia="仿宋_GB2312" w:cs="Times New Roman"/>
          <w:color w:val="000000"/>
          <w:kern w:val="0"/>
          <w:sz w:val="32"/>
          <w:szCs w:val="32"/>
          <w:lang w:val="en-US" w:eastAsia="zh-CN" w:bidi="ar"/>
        </w:rPr>
        <w:t>碳基新材料产业。</w:t>
      </w:r>
      <w:r>
        <w:rPr>
          <w:rFonts w:hint="default" w:ascii="Times New Roman" w:hAnsi="Times New Roman" w:eastAsia="仿宋_GB2312" w:cs="Times New Roman"/>
          <w:kern w:val="21"/>
          <w:sz w:val="32"/>
          <w:szCs w:val="32"/>
        </w:rPr>
        <w:t>深化与化工</w:t>
      </w:r>
      <w:r>
        <w:rPr>
          <w:rFonts w:hint="default" w:ascii="Times New Roman" w:hAnsi="Times New Roman" w:cs="Times New Roman"/>
          <w:kern w:val="21"/>
          <w:sz w:val="32"/>
          <w:szCs w:val="32"/>
          <w:lang w:val="en-US" w:eastAsia="zh-CN"/>
        </w:rPr>
        <w:t>行业</w:t>
      </w:r>
      <w:r>
        <w:rPr>
          <w:rFonts w:hint="default" w:ascii="Times New Roman" w:hAnsi="Times New Roman" w:eastAsia="仿宋_GB2312" w:cs="Times New Roman"/>
          <w:kern w:val="21"/>
          <w:sz w:val="32"/>
          <w:szCs w:val="32"/>
        </w:rPr>
        <w:t>头部企业、科研院所协同协作，围绕</w:t>
      </w:r>
      <w:r>
        <w:rPr>
          <w:rFonts w:hint="default" w:ascii="Times New Roman" w:hAnsi="Times New Roman" w:cs="Times New Roman"/>
        </w:rPr>
        <w:t>高端补链、终端延链、整体强链</w:t>
      </w:r>
      <w:r>
        <w:rPr>
          <w:rFonts w:hint="default" w:ascii="Times New Roman" w:hAnsi="Times New Roman" w:cs="Times New Roman"/>
          <w:kern w:val="21"/>
          <w:sz w:val="32"/>
          <w:szCs w:val="32"/>
          <w:lang w:eastAsia="zh-CN"/>
        </w:rPr>
        <w:t>，</w:t>
      </w:r>
      <w:r>
        <w:rPr>
          <w:rFonts w:hint="default" w:ascii="Times New Roman" w:hAnsi="Times New Roman" w:cs="Times New Roman"/>
          <w:kern w:val="21"/>
          <w:sz w:val="32"/>
          <w:szCs w:val="32"/>
          <w:lang w:val="en-US" w:eastAsia="zh-CN"/>
        </w:rPr>
        <w:t>精准</w:t>
      </w:r>
      <w:r>
        <w:rPr>
          <w:rFonts w:hint="default" w:ascii="Times New Roman" w:hAnsi="Times New Roman" w:eastAsia="仿宋_GB2312" w:cs="Times New Roman"/>
          <w:kern w:val="21"/>
          <w:sz w:val="32"/>
          <w:szCs w:val="32"/>
        </w:rPr>
        <w:t>招引技术领先、绿色环保的优质项目，培育产业发展新增长点</w:t>
      </w:r>
      <w:r>
        <w:rPr>
          <w:rFonts w:hint="default" w:ascii="Times New Roman" w:hAnsi="Times New Roman" w:cs="Times New Roman"/>
        </w:rPr>
        <w:t>。到2030年，</w:t>
      </w:r>
      <w:r>
        <w:rPr>
          <w:rFonts w:hint="eastAsia" w:ascii="Times New Roman" w:hAnsi="Times New Roman" w:cs="Times New Roman"/>
          <w:kern w:val="21"/>
          <w:sz w:val="32"/>
          <w:szCs w:val="32"/>
          <w:lang w:val="en-US" w:eastAsia="zh-CN"/>
        </w:rPr>
        <w:t>化工新材料</w:t>
      </w:r>
      <w:r>
        <w:rPr>
          <w:rFonts w:hint="default" w:ascii="Times New Roman" w:hAnsi="Times New Roman" w:cs="Times New Roman"/>
        </w:rPr>
        <w:t>产业产值突破</w:t>
      </w:r>
      <w:r>
        <w:rPr>
          <w:rFonts w:hint="default" w:ascii="Times New Roman" w:hAnsi="Times New Roman" w:cs="Times New Roman"/>
          <w:lang w:val="en-US" w:eastAsia="zh-CN"/>
        </w:rPr>
        <w:t>200</w:t>
      </w:r>
      <w:r>
        <w:rPr>
          <w:rFonts w:hint="default" w:ascii="Times New Roman" w:hAnsi="Times New Roman" w:cs="Times New Roman"/>
          <w:highlight w:val="none"/>
        </w:rPr>
        <w:t>亿元</w:t>
      </w:r>
      <w:r>
        <w:rPr>
          <w:rFonts w:hint="default" w:ascii="Times New Roman" w:hAnsi="Times New Roman" w:cs="Times New Roman"/>
        </w:rPr>
        <w:t>。</w:t>
      </w:r>
    </w:p>
    <w:p w14:paraId="5176A102">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lang w:eastAsia="zh-CN"/>
        </w:rPr>
      </w:pPr>
      <w:r>
        <w:rPr>
          <w:rFonts w:hint="eastAsia" w:ascii="楷体_GB2312" w:hAnsi="楷体_GB2312" w:eastAsia="楷体_GB2312" w:cs="楷体_GB2312"/>
          <w:b w:val="0"/>
          <w:bCs w:val="0"/>
          <w:lang w:val="en-US" w:eastAsia="zh-CN"/>
        </w:rPr>
        <w:t>高端装备。</w:t>
      </w:r>
      <w:r>
        <w:rPr>
          <w:rFonts w:hint="default" w:ascii="Times New Roman" w:hAnsi="Times New Roman" w:cs="Times New Roman"/>
        </w:rPr>
        <w:t>聚焦</w:t>
      </w:r>
      <w:r>
        <w:rPr>
          <w:rFonts w:hint="default" w:ascii="Times New Roman" w:hAnsi="Times New Roman" w:cs="Times New Roman"/>
          <w:highlight w:val="none"/>
        </w:rPr>
        <w:t>电力</w:t>
      </w:r>
      <w:r>
        <w:rPr>
          <w:rFonts w:hint="default" w:ascii="Times New Roman" w:hAnsi="Times New Roman" w:cs="Times New Roman"/>
          <w:highlight w:val="none"/>
          <w:lang w:val="en-US" w:eastAsia="zh-CN"/>
        </w:rPr>
        <w:t>智能装备</w:t>
      </w:r>
      <w:r>
        <w:rPr>
          <w:rFonts w:hint="default" w:ascii="Times New Roman" w:hAnsi="Times New Roman" w:cs="Times New Roman"/>
        </w:rPr>
        <w:t>、</w:t>
      </w:r>
      <w:r>
        <w:rPr>
          <w:rFonts w:hint="default" w:ascii="Times New Roman" w:hAnsi="Times New Roman" w:cs="Times New Roman"/>
          <w:lang w:val="en-US" w:eastAsia="zh-CN"/>
        </w:rPr>
        <w:t>高端</w:t>
      </w:r>
      <w:r>
        <w:rPr>
          <w:rFonts w:hint="default" w:ascii="Times New Roman" w:hAnsi="Times New Roman" w:cs="Times New Roman"/>
        </w:rPr>
        <w:t>制冷装备、</w:t>
      </w:r>
      <w:r>
        <w:rPr>
          <w:rFonts w:hint="default" w:ascii="Times New Roman" w:hAnsi="Times New Roman" w:cs="Times New Roman"/>
          <w:lang w:val="en-US" w:eastAsia="zh-CN"/>
        </w:rPr>
        <w:t>特色专用</w:t>
      </w:r>
      <w:r>
        <w:rPr>
          <w:rFonts w:hint="default" w:ascii="Times New Roman" w:hAnsi="Times New Roman" w:cs="Times New Roman"/>
        </w:rPr>
        <w:t>装备领域，通过项目带动、产研协同、技改升级，推动产业集聚</w:t>
      </w:r>
      <w:r>
        <w:rPr>
          <w:rFonts w:hint="default" w:ascii="Times New Roman" w:hAnsi="Times New Roman" w:cs="Times New Roman"/>
          <w:lang w:val="en-US" w:eastAsia="zh-CN"/>
        </w:rPr>
        <w:t>增效</w:t>
      </w:r>
      <w:r>
        <w:rPr>
          <w:rFonts w:hint="default" w:ascii="Times New Roman" w:hAnsi="Times New Roman" w:cs="Times New Roman"/>
          <w:lang w:eastAsia="zh-CN"/>
        </w:rPr>
        <w:t>。</w:t>
      </w:r>
      <w:r>
        <w:rPr>
          <w:rFonts w:hint="default" w:ascii="Times New Roman" w:hAnsi="Times New Roman" w:cs="Times New Roman"/>
        </w:rPr>
        <w:t>电力</w:t>
      </w:r>
      <w:r>
        <w:rPr>
          <w:rFonts w:hint="default" w:ascii="Times New Roman" w:hAnsi="Times New Roman" w:cs="Times New Roman"/>
          <w:lang w:val="en-US" w:eastAsia="zh-CN"/>
        </w:rPr>
        <w:t>智能装备领域</w:t>
      </w:r>
      <w:r>
        <w:rPr>
          <w:rFonts w:hint="default" w:ascii="Times New Roman" w:hAnsi="Times New Roman" w:cs="Times New Roman"/>
          <w:lang w:eastAsia="zh-CN"/>
        </w:rPr>
        <w:t>，</w:t>
      </w:r>
      <w:r>
        <w:rPr>
          <w:rFonts w:hint="default" w:ascii="Times New Roman" w:hAnsi="Times New Roman" w:cs="Times New Roman"/>
        </w:rPr>
        <w:t>以中科智能</w:t>
      </w:r>
      <w:r>
        <w:rPr>
          <w:rFonts w:hint="default" w:ascii="Times New Roman" w:hAnsi="Times New Roman" w:cs="Times New Roman"/>
          <w:lang w:val="en-US" w:eastAsia="zh-CN"/>
        </w:rPr>
        <w:t>公司</w:t>
      </w:r>
      <w:r>
        <w:rPr>
          <w:rFonts w:hint="default" w:ascii="Times New Roman" w:hAnsi="Times New Roman" w:cs="Times New Roman"/>
        </w:rPr>
        <w:t>为</w:t>
      </w:r>
      <w:r>
        <w:rPr>
          <w:rFonts w:hint="default" w:ascii="Times New Roman" w:hAnsi="Times New Roman" w:cs="Times New Roman"/>
          <w:lang w:val="en-US" w:eastAsia="zh-CN"/>
        </w:rPr>
        <w:t>龙头</w:t>
      </w:r>
      <w:r>
        <w:rPr>
          <w:rFonts w:hint="default" w:ascii="Times New Roman" w:hAnsi="Times New Roman" w:cs="Times New Roman"/>
        </w:rPr>
        <w:t>，</w:t>
      </w:r>
      <w:r>
        <w:rPr>
          <w:rFonts w:hint="default" w:ascii="Times New Roman" w:hAnsi="Times New Roman" w:cs="Times New Roman"/>
          <w:lang w:val="en-US" w:eastAsia="zh-CN"/>
        </w:rPr>
        <w:t>重点发展</w:t>
      </w:r>
      <w:r>
        <w:rPr>
          <w:rFonts w:hint="default" w:ascii="Times New Roman" w:hAnsi="Times New Roman" w:cs="Times New Roman"/>
          <w:highlight w:val="none"/>
        </w:rPr>
        <w:t>智能电网设备、高端铜合金材料、储能</w:t>
      </w:r>
      <w:r>
        <w:rPr>
          <w:rFonts w:hint="default" w:ascii="Times New Roman" w:hAnsi="Times New Roman" w:cs="Times New Roman"/>
          <w:highlight w:val="none"/>
          <w:lang w:val="en-US" w:eastAsia="zh-CN"/>
        </w:rPr>
        <w:t>设备</w:t>
      </w:r>
      <w:r>
        <w:rPr>
          <w:rFonts w:hint="default" w:ascii="Times New Roman" w:hAnsi="Times New Roman" w:cs="Times New Roman"/>
          <w:highlight w:val="none"/>
        </w:rPr>
        <w:t>、电力物联网传感器、锂电消防设备等产品，打造区域性电力智能装备研发生产</w:t>
      </w:r>
      <w:r>
        <w:rPr>
          <w:rFonts w:hint="default" w:ascii="Times New Roman" w:hAnsi="Times New Roman" w:cs="Times New Roman"/>
          <w:highlight w:val="none"/>
          <w:lang w:val="en-US" w:eastAsia="zh-CN"/>
        </w:rPr>
        <w:t>基地</w:t>
      </w:r>
      <w:r>
        <w:rPr>
          <w:rFonts w:hint="default" w:ascii="Times New Roman" w:hAnsi="Times New Roman" w:cs="Times New Roman"/>
          <w:highlight w:val="none"/>
        </w:rPr>
        <w:t>。</w:t>
      </w:r>
      <w:r>
        <w:rPr>
          <w:rFonts w:hint="default" w:ascii="Times New Roman" w:hAnsi="Times New Roman" w:cs="Times New Roman"/>
          <w:lang w:val="en-US" w:eastAsia="zh-CN"/>
        </w:rPr>
        <w:t>高端制冷装备领域，规划建设制冷产业园，</w:t>
      </w:r>
      <w:r>
        <w:rPr>
          <w:rFonts w:hint="default" w:ascii="Times New Roman" w:hAnsi="Times New Roman" w:cs="Times New Roman"/>
        </w:rPr>
        <w:t>支持</w:t>
      </w:r>
      <w:r>
        <w:rPr>
          <w:rFonts w:hint="default" w:ascii="Times New Roman" w:hAnsi="Times New Roman" w:cs="Times New Roman"/>
          <w:lang w:val="en-US" w:eastAsia="zh-CN"/>
        </w:rPr>
        <w:t>华瑞、</w:t>
      </w:r>
      <w:r>
        <w:rPr>
          <w:rFonts w:hint="default" w:ascii="Times New Roman" w:hAnsi="Times New Roman" w:cs="Times New Roman"/>
        </w:rPr>
        <w:t>雪峰、立源等企业</w:t>
      </w:r>
      <w:r>
        <w:rPr>
          <w:rFonts w:hint="default" w:ascii="Times New Roman" w:hAnsi="Times New Roman" w:cs="Times New Roman"/>
          <w:lang w:val="en-US" w:eastAsia="zh-CN"/>
        </w:rPr>
        <w:t>技改升级、扩大规模</w:t>
      </w:r>
      <w:r>
        <w:rPr>
          <w:rFonts w:hint="default" w:ascii="Times New Roman" w:hAnsi="Times New Roman" w:cs="Times New Roman"/>
        </w:rPr>
        <w:t>，重点推进华瑞高端制冷设备生产一体化项目</w:t>
      </w:r>
      <w:r>
        <w:rPr>
          <w:rFonts w:hint="default" w:ascii="Times New Roman" w:hAnsi="Times New Roman" w:cs="Times New Roman"/>
          <w:lang w:eastAsia="zh-CN"/>
        </w:rPr>
        <w:t>，</w:t>
      </w:r>
      <w:r>
        <w:rPr>
          <w:rFonts w:hint="default" w:ascii="Times New Roman" w:hAnsi="Times New Roman" w:cs="Times New Roman"/>
        </w:rPr>
        <w:t>引导企业攻关电气控制系统、</w:t>
      </w:r>
      <w:r>
        <w:rPr>
          <w:rFonts w:hint="default" w:ascii="Times New Roman" w:hAnsi="Times New Roman" w:cs="Times New Roman"/>
          <w:lang w:val="en-US" w:eastAsia="zh-CN"/>
        </w:rPr>
        <w:t>高效</w:t>
      </w:r>
      <w:r>
        <w:rPr>
          <w:rFonts w:hint="default" w:ascii="Times New Roman" w:hAnsi="Times New Roman" w:cs="Times New Roman"/>
        </w:rPr>
        <w:t>压缩机等上下游核心配套产品，完善“整机制造+核心配套+运维服务”产业链，</w:t>
      </w:r>
      <w:r>
        <w:rPr>
          <w:rFonts w:hint="default" w:ascii="Times New Roman" w:hAnsi="Times New Roman" w:cs="Times New Roman"/>
          <w:lang w:val="en-US" w:eastAsia="zh-CN"/>
        </w:rPr>
        <w:t>构建“龙头带动+产业协同”产业集群，</w:t>
      </w:r>
      <w:r>
        <w:rPr>
          <w:rFonts w:hint="default" w:ascii="Times New Roman" w:hAnsi="Times New Roman" w:cs="Times New Roman"/>
        </w:rPr>
        <w:t>建</w:t>
      </w:r>
      <w:r>
        <w:rPr>
          <w:rFonts w:hint="default" w:ascii="Times New Roman" w:hAnsi="Times New Roman" w:cs="Times New Roman"/>
          <w:lang w:val="en-US" w:eastAsia="zh-CN"/>
        </w:rPr>
        <w:t>设</w:t>
      </w:r>
      <w:r>
        <w:rPr>
          <w:rFonts w:hint="default" w:ascii="Times New Roman" w:hAnsi="Times New Roman" w:cs="Times New Roman"/>
        </w:rPr>
        <w:t>鲁南地区重要的制冷</w:t>
      </w:r>
      <w:r>
        <w:rPr>
          <w:rFonts w:hint="default" w:ascii="Times New Roman" w:hAnsi="Times New Roman" w:cs="Times New Roman"/>
          <w:lang w:val="en-US" w:eastAsia="zh-CN"/>
        </w:rPr>
        <w:t>装备</w:t>
      </w:r>
      <w:r>
        <w:rPr>
          <w:rFonts w:hint="default" w:ascii="Times New Roman" w:hAnsi="Times New Roman" w:cs="Times New Roman"/>
        </w:rPr>
        <w:t>生产基地。</w:t>
      </w:r>
      <w:r>
        <w:rPr>
          <w:rFonts w:hint="default" w:ascii="Times New Roman" w:hAnsi="Times New Roman" w:cs="Times New Roman"/>
          <w:lang w:val="en-US" w:eastAsia="zh-CN"/>
        </w:rPr>
        <w:t>特色专用</w:t>
      </w:r>
      <w:r>
        <w:rPr>
          <w:rFonts w:hint="default" w:ascii="Times New Roman" w:hAnsi="Times New Roman" w:cs="Times New Roman"/>
        </w:rPr>
        <w:t>装备</w:t>
      </w:r>
      <w:r>
        <w:rPr>
          <w:rFonts w:hint="default" w:ascii="Times New Roman" w:hAnsi="Times New Roman" w:cs="Times New Roman"/>
          <w:lang w:val="en-US" w:eastAsia="zh-CN"/>
        </w:rPr>
        <w:t>领域，</w:t>
      </w:r>
      <w:r>
        <w:rPr>
          <w:rFonts w:hint="default" w:ascii="Times New Roman" w:hAnsi="Times New Roman" w:cs="Times New Roman"/>
        </w:rPr>
        <w:t>重点发展矿山智能装备、精密机械部件、高端阀门等产品，推进矿井机器人生产、高端精密工具智能制造等项目，加大技术改造力度，提升本地配套率，培育一批“专精特新”</w:t>
      </w:r>
      <w:r>
        <w:rPr>
          <w:rFonts w:hint="default" w:ascii="Times New Roman" w:hAnsi="Times New Roman" w:cs="Times New Roman"/>
          <w:lang w:val="en-US" w:eastAsia="zh-CN"/>
        </w:rPr>
        <w:t>企业</w:t>
      </w:r>
      <w:r>
        <w:rPr>
          <w:rFonts w:hint="default" w:ascii="Times New Roman" w:hAnsi="Times New Roman" w:cs="Times New Roman"/>
        </w:rPr>
        <w:t>和制造业单项冠军企业。到2030年，高端装备制造产业集聚效应显著增强，产业链协同水平大幅提升，产业产值突破</w:t>
      </w:r>
      <w:r>
        <w:rPr>
          <w:rFonts w:hint="default" w:ascii="Times New Roman" w:hAnsi="Times New Roman" w:cs="Times New Roman"/>
          <w:lang w:val="en-US" w:eastAsia="zh-CN"/>
        </w:rPr>
        <w:t>70</w:t>
      </w:r>
      <w:r>
        <w:rPr>
          <w:rFonts w:hint="default" w:ascii="Times New Roman" w:hAnsi="Times New Roman" w:cs="Times New Roman"/>
        </w:rPr>
        <w:t>亿元</w:t>
      </w:r>
      <w:r>
        <w:rPr>
          <w:rFonts w:hint="default" w:ascii="Times New Roman" w:hAnsi="Times New Roman" w:cs="Times New Roman"/>
          <w:lang w:eastAsia="zh-CN"/>
        </w:rPr>
        <w:t>。</w:t>
      </w:r>
    </w:p>
    <w:p w14:paraId="6D788D9D">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lang w:eastAsia="zh-CN"/>
        </w:rPr>
      </w:pPr>
      <w:r>
        <w:rPr>
          <w:rFonts w:hint="eastAsia" w:ascii="楷体_GB2312" w:hAnsi="楷体_GB2312" w:eastAsia="楷体_GB2312" w:cs="楷体_GB2312"/>
          <w:b w:val="0"/>
          <w:bCs w:val="0"/>
          <w:lang w:val="en-US" w:eastAsia="zh-CN"/>
        </w:rPr>
        <w:t>现代轻工。</w:t>
      </w:r>
      <w:r>
        <w:rPr>
          <w:rFonts w:hint="default" w:ascii="Times New Roman" w:hAnsi="Times New Roman" w:eastAsia="仿宋_GB2312" w:cs="Times New Roman"/>
          <w:lang w:eastAsia="zh-CN"/>
        </w:rPr>
        <w:t>以高端化、绿色化、品牌化为导向，聚焦食品</w:t>
      </w:r>
      <w:r>
        <w:rPr>
          <w:rFonts w:hint="default" w:ascii="Times New Roman" w:hAnsi="Times New Roman" w:eastAsia="仿宋_GB2312" w:cs="Times New Roman"/>
          <w:lang w:val="en-US" w:eastAsia="zh-CN"/>
        </w:rPr>
        <w:t>加工</w:t>
      </w:r>
      <w:r>
        <w:rPr>
          <w:rFonts w:hint="default" w:ascii="Times New Roman" w:hAnsi="Times New Roman" w:eastAsia="仿宋_GB2312" w:cs="Times New Roman"/>
          <w:lang w:eastAsia="zh-CN"/>
        </w:rPr>
        <w:t>、造纸、玻璃、制鞋</w:t>
      </w:r>
      <w:r>
        <w:rPr>
          <w:rFonts w:hint="default" w:ascii="Times New Roman" w:hAnsi="Times New Roman" w:eastAsia="仿宋_GB2312" w:cs="Times New Roman"/>
          <w:lang w:val="en-US" w:eastAsia="zh-CN"/>
        </w:rPr>
        <w:t>领域</w:t>
      </w:r>
      <w:r>
        <w:rPr>
          <w:rFonts w:hint="default" w:ascii="Times New Roman" w:hAnsi="Times New Roman" w:eastAsia="仿宋_GB2312" w:cs="Times New Roman"/>
          <w:lang w:eastAsia="zh-CN"/>
        </w:rPr>
        <w:t>，推动产业规模扩张、质效提升。食品</w:t>
      </w:r>
      <w:r>
        <w:rPr>
          <w:rFonts w:hint="default" w:ascii="Times New Roman" w:hAnsi="Times New Roman" w:eastAsia="仿宋_GB2312" w:cs="Times New Roman"/>
          <w:lang w:val="en-US" w:eastAsia="zh-CN"/>
        </w:rPr>
        <w:t>加工</w:t>
      </w:r>
      <w:r>
        <w:rPr>
          <w:rFonts w:hint="default" w:ascii="Times New Roman" w:hAnsi="Times New Roman" w:eastAsia="仿宋_GB2312" w:cs="Times New Roman"/>
          <w:lang w:eastAsia="zh-CN"/>
        </w:rPr>
        <w:t>方面，发挥青啤（枣庄）龙头带动作用，拓展高端产品生产资质，完善物流仓储、包装等配套，构建“生产—配套—物流”一体化产业链。支持</w:t>
      </w:r>
      <w:r>
        <w:rPr>
          <w:rFonts w:hint="default" w:ascii="Times New Roman" w:hAnsi="Times New Roman" w:eastAsia="仿宋_GB2312" w:cs="Times New Roman"/>
          <w:lang w:val="en-US" w:eastAsia="zh-CN"/>
        </w:rPr>
        <w:t>夫宇食品、银牛面业、</w:t>
      </w:r>
      <w:r>
        <w:rPr>
          <w:rFonts w:hint="default" w:ascii="Times New Roman" w:hAnsi="Times New Roman" w:eastAsia="仿宋_GB2312" w:cs="Times New Roman"/>
          <w:lang w:eastAsia="zh-CN"/>
        </w:rPr>
        <w:t>甄沃食品、晟达菲尔等企业</w:t>
      </w:r>
      <w:r>
        <w:rPr>
          <w:rFonts w:hint="default" w:ascii="Times New Roman" w:hAnsi="Times New Roman" w:eastAsia="仿宋_GB2312" w:cs="Times New Roman"/>
          <w:lang w:val="en-US" w:eastAsia="zh-CN"/>
        </w:rPr>
        <w:t>实施智能化技改，建设</w:t>
      </w:r>
      <w:r>
        <w:rPr>
          <w:rFonts w:hint="default" w:ascii="Times New Roman" w:hAnsi="Times New Roman" w:eastAsia="仿宋_GB2312" w:cs="Times New Roman"/>
          <w:lang w:eastAsia="zh-CN"/>
        </w:rPr>
        <w:t>夫宇绿色食品产业园配套、银牛面业四期、晟达菲尔高端NFC果汁生产线技改等项目，丰富果蔬汁、特色</w:t>
      </w:r>
      <w:r>
        <w:rPr>
          <w:rFonts w:hint="default" w:ascii="Times New Roman" w:hAnsi="Times New Roman" w:eastAsia="仿宋_GB2312" w:cs="Times New Roman"/>
          <w:lang w:val="en-US" w:eastAsia="zh-CN"/>
        </w:rPr>
        <w:t>食</w:t>
      </w:r>
      <w:r>
        <w:rPr>
          <w:rFonts w:hint="default" w:ascii="Times New Roman" w:hAnsi="Times New Roman" w:eastAsia="仿宋_GB2312" w:cs="Times New Roman"/>
          <w:lang w:eastAsia="zh-CN"/>
        </w:rPr>
        <w:t>品品类。联合科研院所开发</w:t>
      </w:r>
      <w:r>
        <w:rPr>
          <w:rFonts w:hint="default" w:ascii="Times New Roman" w:hAnsi="Times New Roman" w:eastAsia="仿宋_GB2312" w:cs="Times New Roman"/>
          <w:lang w:val="en-US" w:eastAsia="zh-CN"/>
        </w:rPr>
        <w:t>石榴保健品、化妆品等</w:t>
      </w:r>
      <w:r>
        <w:rPr>
          <w:rFonts w:hint="default" w:ascii="Times New Roman" w:hAnsi="Times New Roman" w:eastAsia="仿宋_GB2312" w:cs="Times New Roman"/>
          <w:lang w:eastAsia="zh-CN"/>
        </w:rPr>
        <w:t>高附加值产品，</w:t>
      </w:r>
      <w:r>
        <w:rPr>
          <w:rFonts w:hint="default" w:ascii="Times New Roman" w:hAnsi="Times New Roman" w:eastAsia="仿宋_GB2312" w:cs="Times New Roman"/>
          <w:lang w:val="en-US" w:eastAsia="zh-CN"/>
        </w:rPr>
        <w:t>拓展“食品+文旅”“食品+研学”“食品+健康”等新业态。</w:t>
      </w:r>
      <w:r>
        <w:rPr>
          <w:rFonts w:hint="default" w:ascii="Times New Roman" w:hAnsi="Times New Roman" w:eastAsia="仿宋_GB2312" w:cs="Times New Roman"/>
          <w:lang w:eastAsia="zh-CN"/>
        </w:rPr>
        <w:t>造纸方面，</w:t>
      </w:r>
      <w:r>
        <w:rPr>
          <w:rFonts w:hint="default" w:ascii="Times New Roman" w:hAnsi="Times New Roman" w:eastAsia="仿宋_GB2312" w:cs="Times New Roman"/>
          <w:lang w:val="en-US" w:eastAsia="zh-CN"/>
        </w:rPr>
        <w:t>支持</w:t>
      </w:r>
      <w:r>
        <w:rPr>
          <w:rFonts w:hint="default" w:ascii="Times New Roman" w:hAnsi="Times New Roman" w:eastAsia="仿宋_GB2312" w:cs="Times New Roman"/>
          <w:lang w:eastAsia="zh-CN"/>
        </w:rPr>
        <w:t>远通纸业、榴园纸业等</w:t>
      </w:r>
      <w:r>
        <w:rPr>
          <w:rFonts w:hint="default" w:ascii="Times New Roman" w:hAnsi="Times New Roman" w:eastAsia="仿宋_GB2312" w:cs="Times New Roman"/>
          <w:lang w:val="en-US" w:eastAsia="zh-CN"/>
        </w:rPr>
        <w:t>骨干</w:t>
      </w:r>
      <w:r>
        <w:rPr>
          <w:rFonts w:hint="default" w:ascii="Times New Roman" w:hAnsi="Times New Roman" w:eastAsia="仿宋_GB2312" w:cs="Times New Roman"/>
          <w:lang w:eastAsia="zh-CN"/>
        </w:rPr>
        <w:t>企业技改升级、优化产品，实施节能降碳技术改造，更新智能生产设备，</w:t>
      </w:r>
      <w:r>
        <w:rPr>
          <w:rFonts w:hint="default" w:ascii="Times New Roman" w:hAnsi="Times New Roman" w:eastAsia="仿宋_GB2312" w:cs="Times New Roman"/>
          <w:lang w:val="en-US" w:eastAsia="zh-CN"/>
        </w:rPr>
        <w:t>发展</w:t>
      </w:r>
      <w:r>
        <w:rPr>
          <w:rFonts w:hint="default" w:ascii="Times New Roman" w:hAnsi="Times New Roman" w:eastAsia="仿宋_GB2312" w:cs="Times New Roman"/>
          <w:lang w:eastAsia="zh-CN"/>
        </w:rPr>
        <w:t>特种包装纸、高端工业专用纸等</w:t>
      </w:r>
      <w:r>
        <w:rPr>
          <w:rFonts w:hint="default" w:ascii="Times New Roman" w:hAnsi="Times New Roman" w:eastAsia="仿宋_GB2312" w:cs="Times New Roman"/>
          <w:lang w:val="en-US" w:eastAsia="zh-CN"/>
        </w:rPr>
        <w:t>产品</w:t>
      </w:r>
      <w:r>
        <w:rPr>
          <w:rFonts w:hint="default" w:ascii="Times New Roman" w:hAnsi="Times New Roman" w:cs="Times New Roman"/>
          <w:lang w:eastAsia="zh-CN"/>
        </w:rPr>
        <w:t>；</w:t>
      </w:r>
      <w:r>
        <w:rPr>
          <w:rFonts w:hint="default" w:ascii="Times New Roman" w:hAnsi="Times New Roman" w:eastAsia="仿宋_GB2312" w:cs="Times New Roman"/>
          <w:lang w:eastAsia="zh-CN"/>
        </w:rPr>
        <w:t>深化链群协同，引进纸制品深加工等配套企业，</w:t>
      </w:r>
      <w:r>
        <w:rPr>
          <w:rFonts w:hint="default" w:ascii="Times New Roman" w:hAnsi="Times New Roman" w:eastAsia="仿宋_GB2312" w:cs="Times New Roman"/>
          <w:lang w:val="en-US" w:eastAsia="zh-CN"/>
        </w:rPr>
        <w:t>延伸</w:t>
      </w:r>
      <w:r>
        <w:rPr>
          <w:rFonts w:hint="default" w:ascii="Times New Roman" w:hAnsi="Times New Roman" w:eastAsia="仿宋_GB2312" w:cs="Times New Roman"/>
          <w:lang w:eastAsia="zh-CN"/>
        </w:rPr>
        <w:t>产业链。玻璃</w:t>
      </w:r>
      <w:r>
        <w:rPr>
          <w:rFonts w:hint="default" w:ascii="Times New Roman" w:hAnsi="Times New Roman" w:eastAsia="仿宋_GB2312" w:cs="Times New Roman"/>
          <w:lang w:val="en-US" w:eastAsia="zh-CN"/>
        </w:rPr>
        <w:t>方面，支持联兴玻璃、宏伟玻璃等龙头企业</w:t>
      </w:r>
      <w:r>
        <w:rPr>
          <w:rFonts w:hint="default" w:ascii="Times New Roman" w:hAnsi="Times New Roman" w:eastAsia="仿宋_GB2312" w:cs="Times New Roman"/>
          <w:lang w:eastAsia="zh-CN"/>
        </w:rPr>
        <w:t>推广节能窑炉与智能设备，开发包装用玻璃制品</w:t>
      </w:r>
      <w:r>
        <w:rPr>
          <w:rFonts w:hint="default" w:ascii="Times New Roman" w:hAnsi="Times New Roman" w:eastAsia="仿宋_GB2312" w:cs="Times New Roman"/>
          <w:lang w:val="en-US" w:eastAsia="zh-CN"/>
        </w:rPr>
        <w:t>等新产品</w:t>
      </w:r>
      <w:r>
        <w:rPr>
          <w:rFonts w:hint="default" w:ascii="Times New Roman" w:hAnsi="Times New Roman" w:eastAsia="仿宋_GB2312" w:cs="Times New Roman"/>
          <w:lang w:eastAsia="zh-CN"/>
        </w:rPr>
        <w:t>。制鞋</w:t>
      </w:r>
      <w:r>
        <w:rPr>
          <w:rFonts w:hint="default" w:ascii="Times New Roman" w:hAnsi="Times New Roman" w:eastAsia="仿宋_GB2312" w:cs="Times New Roman"/>
          <w:lang w:val="en-US" w:eastAsia="zh-CN"/>
        </w:rPr>
        <w:t>方面，依托伟伦鞋业、两者鞋业，</w:t>
      </w:r>
      <w:r>
        <w:rPr>
          <w:rFonts w:hint="default" w:ascii="Times New Roman" w:hAnsi="Times New Roman" w:eastAsia="仿宋_GB2312" w:cs="Times New Roman"/>
          <w:lang w:eastAsia="zh-CN"/>
        </w:rPr>
        <w:t>强化技改升级，优化产品结构，培育本土品牌，</w:t>
      </w:r>
      <w:r>
        <w:rPr>
          <w:rFonts w:hint="default" w:ascii="Times New Roman" w:hAnsi="Times New Roman" w:cs="Times New Roman"/>
          <w:lang w:val="en-US" w:eastAsia="zh-CN"/>
        </w:rPr>
        <w:t>打造全产业链条</w:t>
      </w:r>
      <w:r>
        <w:rPr>
          <w:rFonts w:hint="default" w:ascii="Times New Roman" w:hAnsi="Times New Roman" w:eastAsia="仿宋_GB2312" w:cs="Times New Roman"/>
          <w:lang w:eastAsia="zh-CN"/>
        </w:rPr>
        <w:t>。</w:t>
      </w:r>
      <w:r>
        <w:rPr>
          <w:rFonts w:hint="default" w:ascii="Times New Roman" w:hAnsi="Times New Roman" w:eastAsia="仿宋_GB2312" w:cs="Times New Roman"/>
        </w:rPr>
        <w:t>到2030年，</w:t>
      </w:r>
      <w:r>
        <w:rPr>
          <w:rFonts w:hint="default" w:ascii="Times New Roman" w:hAnsi="Times New Roman" w:eastAsia="仿宋_GB2312" w:cs="Times New Roman"/>
          <w:lang w:val="en-US" w:eastAsia="zh-CN"/>
        </w:rPr>
        <w:t>现代轻工</w:t>
      </w:r>
      <w:r>
        <w:rPr>
          <w:rFonts w:hint="default" w:ascii="Times New Roman" w:hAnsi="Times New Roman" w:eastAsia="仿宋_GB2312" w:cs="Times New Roman"/>
        </w:rPr>
        <w:t>产业产值突破</w:t>
      </w:r>
      <w:r>
        <w:rPr>
          <w:rFonts w:hint="default" w:ascii="Times New Roman" w:hAnsi="Times New Roman" w:cs="Times New Roman"/>
          <w:lang w:val="en-US" w:eastAsia="zh-CN"/>
        </w:rPr>
        <w:t>70</w:t>
      </w:r>
      <w:r>
        <w:rPr>
          <w:rFonts w:hint="default" w:ascii="Times New Roman" w:hAnsi="Times New Roman" w:eastAsia="仿宋_GB2312" w:cs="Times New Roman"/>
        </w:rPr>
        <w:t>亿元</w:t>
      </w:r>
      <w:r>
        <w:rPr>
          <w:rFonts w:hint="default" w:ascii="Times New Roman" w:hAnsi="Times New Roman" w:eastAsia="仿宋_GB2312" w:cs="Times New Roman"/>
          <w:lang w:eastAsia="zh-CN"/>
        </w:rPr>
        <w:t>。</w:t>
      </w:r>
    </w:p>
    <w:p w14:paraId="7C85916C">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cs="Times New Roman"/>
          <w:kern w:val="21"/>
          <w:szCs w:val="32"/>
          <w:lang w:eastAsia="zh-CN"/>
        </w:rPr>
      </w:pPr>
      <w:r>
        <w:rPr>
          <w:rFonts w:hint="eastAsia" w:ascii="楷体_GB2312" w:hAnsi="楷体_GB2312" w:eastAsia="楷体_GB2312" w:cs="楷体_GB2312"/>
          <w:b w:val="0"/>
          <w:bCs w:val="0"/>
          <w:kern w:val="21"/>
          <w:sz w:val="32"/>
          <w:szCs w:val="32"/>
          <w:lang w:val="en-US" w:eastAsia="zh-CN"/>
        </w:rPr>
        <w:t>新能源。</w:t>
      </w:r>
      <w:r>
        <w:rPr>
          <w:rFonts w:hint="default" w:ascii="Times New Roman" w:hAnsi="Times New Roman" w:cs="Times New Roman"/>
          <w:kern w:val="21"/>
          <w:szCs w:val="32"/>
          <w:lang w:eastAsia="zh-CN"/>
        </w:rPr>
        <w:t>紧扣“双碳”目标，抢抓枣庄锂电产业发展机遇，深化区域产业协作，构建“锂电筑基、氢能拓新、储能增效、多能互补”的新型能源产业体系。</w:t>
      </w:r>
      <w:r>
        <w:rPr>
          <w:rFonts w:hint="default" w:ascii="Times New Roman" w:hAnsi="Times New Roman" w:cs="Times New Roman"/>
          <w:kern w:val="21"/>
          <w:szCs w:val="32"/>
          <w:lang w:val="en-US" w:eastAsia="zh-CN"/>
        </w:rPr>
        <w:t>发展</w:t>
      </w:r>
      <w:r>
        <w:rPr>
          <w:rFonts w:hint="default" w:ascii="Times New Roman" w:hAnsi="Times New Roman" w:cs="Times New Roman"/>
          <w:kern w:val="21"/>
          <w:szCs w:val="32"/>
          <w:lang w:eastAsia="zh-CN"/>
        </w:rPr>
        <w:t>锂电配套产业，重点推进创能新材料二期等项目，做大产业规模。瞄准新能源电池发展方向，及时抢占固态电池、钠离子电池、氢燃料电池、氢能、储能等行业新赛道，推进吉利硫化物和卤化物固体电解质生产线、氢能储运</w:t>
      </w:r>
      <w:r>
        <w:rPr>
          <w:rFonts w:hint="default" w:ascii="Times New Roman" w:hAnsi="Times New Roman" w:eastAsia="仿宋_GB2312" w:cs="Times New Roman"/>
          <w:kern w:val="21"/>
          <w:sz w:val="32"/>
          <w:szCs w:val="32"/>
          <w:highlight w:val="none"/>
        </w:rPr>
        <w:t>等</w:t>
      </w:r>
      <w:r>
        <w:rPr>
          <w:rFonts w:hint="default" w:ascii="Times New Roman" w:hAnsi="Times New Roman" w:cs="Times New Roman"/>
          <w:kern w:val="21"/>
          <w:szCs w:val="32"/>
          <w:lang w:eastAsia="zh-CN"/>
        </w:rPr>
        <w:t>项目产业化。谋划实施薛城经济开发区源网荷储项目，推广分布式光伏、储能电站应用，推动风光储多能互补发展，优化能源供应结构，稳步提升可再生能源消费占比。</w:t>
      </w:r>
    </w:p>
    <w:p w14:paraId="61D273D4">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21" w:name="_Toc578549720"/>
      <w:r>
        <w:rPr>
          <w:rFonts w:hint="eastAsia" w:ascii="楷体_GB2312" w:hAnsi="楷体_GB2312" w:eastAsia="楷体_GB2312" w:cs="楷体_GB2312"/>
          <w:kern w:val="21"/>
          <w:sz w:val="32"/>
          <w:szCs w:val="32"/>
          <w:highlight w:val="none"/>
          <w:lang w:val="en-US" w:eastAsia="zh-CN"/>
        </w:rPr>
        <w:t>第二节  推动新兴产业崛起成势</w:t>
      </w:r>
      <w:bookmarkEnd w:id="21"/>
    </w:p>
    <w:p w14:paraId="2169D180">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b w:val="0"/>
          <w:bCs w:val="0"/>
          <w:kern w:val="21"/>
          <w:sz w:val="32"/>
          <w:szCs w:val="32"/>
          <w:lang w:val="en-US" w:eastAsia="zh-CN"/>
        </w:rPr>
      </w:pPr>
      <w:r>
        <w:rPr>
          <w:rFonts w:hint="default" w:ascii="Times New Roman" w:hAnsi="Times New Roman" w:cs="Times New Roman"/>
          <w:b w:val="0"/>
          <w:bCs w:val="0"/>
          <w:kern w:val="21"/>
          <w:sz w:val="32"/>
          <w:szCs w:val="32"/>
          <w:lang w:val="en-US" w:eastAsia="zh-CN"/>
        </w:rPr>
        <w:t>以创新突破为内核、以项目支撑为路径、以生态构建为保障，加速推动新兴产业崛起成势，打造新的经济增长点。</w:t>
      </w:r>
    </w:p>
    <w:p w14:paraId="4383F82C">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kern w:val="21"/>
          <w:sz w:val="32"/>
          <w:szCs w:val="32"/>
        </w:rPr>
      </w:pPr>
      <w:r>
        <w:rPr>
          <w:rFonts w:hint="eastAsia" w:ascii="楷体_GB2312" w:hAnsi="楷体_GB2312" w:eastAsia="楷体_GB2312" w:cs="楷体_GB2312"/>
          <w:b w:val="0"/>
          <w:bCs w:val="0"/>
          <w:kern w:val="21"/>
          <w:sz w:val="32"/>
          <w:szCs w:val="32"/>
          <w:lang w:val="en-US" w:eastAsia="zh-CN"/>
        </w:rPr>
        <w:t>推动低空经济集聚发展。</w:t>
      </w:r>
      <w:r>
        <w:rPr>
          <w:rFonts w:hint="default" w:ascii="Times New Roman" w:hAnsi="Times New Roman" w:eastAsia="仿宋_GB2312" w:cs="Times New Roman"/>
          <w:kern w:val="21"/>
          <w:sz w:val="32"/>
          <w:szCs w:val="32"/>
          <w:highlight w:val="none"/>
        </w:rPr>
        <w:t>坚持适度超前、场景牵引、安全有序原则，</w:t>
      </w:r>
      <w:r>
        <w:rPr>
          <w:rFonts w:hint="default" w:ascii="Times New Roman" w:hAnsi="Times New Roman" w:cs="Times New Roman"/>
          <w:kern w:val="21"/>
          <w:sz w:val="32"/>
          <w:szCs w:val="32"/>
          <w:highlight w:val="none"/>
          <w:lang w:val="en-US" w:eastAsia="zh-CN"/>
        </w:rPr>
        <w:t>打造</w:t>
      </w:r>
      <w:r>
        <w:rPr>
          <w:rFonts w:hint="default" w:ascii="Times New Roman" w:hAnsi="Times New Roman" w:eastAsia="仿宋_GB2312" w:cs="Times New Roman"/>
          <w:kern w:val="21"/>
          <w:sz w:val="32"/>
          <w:szCs w:val="32"/>
          <w:highlight w:val="none"/>
        </w:rPr>
        <w:t>以低空制造为核心、低空保障为支撑、低空服务为特色的全产业链条，加快构建低空生产制造基地、创新研发基地、教育培训基地、科普体验基地、试飞检测基地、成果转化基地</w:t>
      </w:r>
      <w:r>
        <w:rPr>
          <w:rFonts w:hint="default" w:ascii="Times New Roman" w:hAnsi="Times New Roman" w:cs="Times New Roman"/>
          <w:kern w:val="21"/>
          <w:sz w:val="32"/>
          <w:szCs w:val="32"/>
          <w:highlight w:val="none"/>
          <w:lang w:eastAsia="zh-CN"/>
        </w:rPr>
        <w:t>、</w:t>
      </w:r>
      <w:r>
        <w:rPr>
          <w:rFonts w:hint="default" w:ascii="Times New Roman" w:hAnsi="Times New Roman" w:eastAsia="仿宋_GB2312" w:cs="Times New Roman"/>
          <w:kern w:val="21"/>
          <w:sz w:val="32"/>
          <w:szCs w:val="32"/>
          <w:highlight w:val="none"/>
        </w:rPr>
        <w:t>飞行智慧指挥中心“6+1”低空经济产业生态。集聚发展低空制造业</w:t>
      </w:r>
      <w:r>
        <w:rPr>
          <w:rFonts w:hint="default" w:ascii="Times New Roman" w:hAnsi="Times New Roman" w:cs="Times New Roman"/>
          <w:kern w:val="21"/>
          <w:sz w:val="32"/>
          <w:szCs w:val="32"/>
          <w:highlight w:val="none"/>
          <w:lang w:eastAsia="zh-CN"/>
        </w:rPr>
        <w:t>，</w:t>
      </w:r>
      <w:r>
        <w:rPr>
          <w:rFonts w:hint="default" w:ascii="Times New Roman" w:hAnsi="Times New Roman" w:eastAsia="仿宋_GB2312" w:cs="Times New Roman"/>
          <w:kern w:val="21"/>
          <w:sz w:val="32"/>
          <w:szCs w:val="32"/>
          <w:highlight w:val="none"/>
        </w:rPr>
        <w:t>按照“主</w:t>
      </w:r>
      <w:r>
        <w:rPr>
          <w:rFonts w:hint="default" w:ascii="Times New Roman" w:hAnsi="Times New Roman" w:cs="Times New Roman"/>
          <w:kern w:val="21"/>
          <w:sz w:val="32"/>
          <w:szCs w:val="32"/>
          <w:highlight w:val="none"/>
          <w:lang w:val="en-US" w:eastAsia="zh-CN"/>
        </w:rPr>
        <w:t>题</w:t>
      </w:r>
      <w:r>
        <w:rPr>
          <w:rFonts w:hint="default" w:ascii="Times New Roman" w:hAnsi="Times New Roman" w:eastAsia="仿宋_GB2312" w:cs="Times New Roman"/>
          <w:kern w:val="21"/>
          <w:sz w:val="32"/>
          <w:szCs w:val="32"/>
          <w:highlight w:val="none"/>
        </w:rPr>
        <w:t>园区+平台公司+产业基金”模式，实施低空经济动力谷二期建设，推动园区扩规提质，重点招引低空飞行器整机、动力电机电控及核心零部件企业，加速聚引先舟科技、硬核永动、宇安科技、理工全盛、智能光电等项目，构建“整机制造+核心零部件+场景应用”的完整产业链条，到2030年，集聚链上企业30家以上。加快基础设施配套</w:t>
      </w:r>
      <w:r>
        <w:rPr>
          <w:rFonts w:hint="default" w:ascii="Times New Roman" w:hAnsi="Times New Roman" w:cs="Times New Roman"/>
          <w:kern w:val="21"/>
          <w:sz w:val="32"/>
          <w:szCs w:val="32"/>
          <w:highlight w:val="none"/>
          <w:lang w:eastAsia="zh-CN"/>
        </w:rPr>
        <w:t>，</w:t>
      </w:r>
      <w:r>
        <w:rPr>
          <w:rFonts w:hint="default" w:ascii="Times New Roman" w:hAnsi="Times New Roman" w:eastAsia="仿宋_GB2312" w:cs="Times New Roman"/>
          <w:kern w:val="21"/>
          <w:sz w:val="32"/>
          <w:szCs w:val="32"/>
          <w:highlight w:val="none"/>
        </w:rPr>
        <w:t>谋划实施薛城通用机场，完善标准化停机坪、专业试飞跑道等配套设施，推动本地院校开设无人机技术应用专业，补齐飞行、运维、适航认证等专业人才短板。拓展低空经济应用场景</w:t>
      </w:r>
      <w:r>
        <w:rPr>
          <w:rFonts w:hint="default" w:ascii="Times New Roman" w:hAnsi="Times New Roman" w:cs="Times New Roman"/>
          <w:kern w:val="21"/>
          <w:sz w:val="32"/>
          <w:szCs w:val="32"/>
          <w:highlight w:val="none"/>
          <w:lang w:eastAsia="zh-CN"/>
        </w:rPr>
        <w:t>，</w:t>
      </w:r>
      <w:r>
        <w:rPr>
          <w:rFonts w:hint="default" w:ascii="Times New Roman" w:hAnsi="Times New Roman" w:eastAsia="仿宋_GB2312" w:cs="Times New Roman"/>
          <w:kern w:val="21"/>
          <w:sz w:val="32"/>
          <w:szCs w:val="32"/>
          <w:highlight w:val="none"/>
        </w:rPr>
        <w:t>坚持目标引领、需求导向，制定低空经济应用场景清单，实施低空应用场景示范工程，</w:t>
      </w:r>
      <w:r>
        <w:rPr>
          <w:rFonts w:hint="default" w:ascii="Times New Roman" w:hAnsi="Times New Roman" w:cs="Times New Roman"/>
          <w:kern w:val="21"/>
          <w:sz w:val="32"/>
          <w:szCs w:val="32"/>
          <w:highlight w:val="none"/>
          <w:lang w:val="en-US" w:eastAsia="zh-CN"/>
        </w:rPr>
        <w:t>高效运营</w:t>
      </w:r>
      <w:r>
        <w:rPr>
          <w:rFonts w:hint="default" w:ascii="Times New Roman" w:hAnsi="Times New Roman" w:eastAsia="仿宋_GB2312" w:cs="Times New Roman"/>
          <w:kern w:val="21"/>
          <w:sz w:val="32"/>
          <w:szCs w:val="32"/>
          <w:highlight w:val="none"/>
        </w:rPr>
        <w:t>山东云图低空无人机遥感网，完善环保、防火、水务、违建等城市治理应用场景，拓展农业生产、森林植保、应急救援等应用场景。到2030年，低空经济产业规模突破60亿元，打造低空经济先行区</w:t>
      </w:r>
      <w:r>
        <w:rPr>
          <w:rFonts w:hint="default" w:ascii="Times New Roman" w:hAnsi="Times New Roman" w:eastAsia="仿宋_GB2312" w:cs="Times New Roman"/>
          <w:kern w:val="21"/>
          <w:sz w:val="32"/>
          <w:szCs w:val="32"/>
        </w:rPr>
        <w:t>。</w:t>
      </w:r>
    </w:p>
    <w:p w14:paraId="516A33E1">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kern w:val="21"/>
          <w:sz w:val="32"/>
          <w:szCs w:val="32"/>
          <w:lang w:val="en-US" w:eastAsia="zh-CN"/>
        </w:rPr>
      </w:pPr>
      <w:r>
        <w:rPr>
          <w:rFonts w:hint="eastAsia" w:ascii="楷体_GB2312" w:hAnsi="楷体_GB2312" w:eastAsia="楷体_GB2312" w:cs="楷体_GB2312"/>
          <w:b w:val="0"/>
          <w:bCs w:val="0"/>
          <w:kern w:val="21"/>
          <w:sz w:val="32"/>
          <w:szCs w:val="32"/>
        </w:rPr>
        <w:t>前瞻布局未来产业。</w:t>
      </w:r>
      <w:r>
        <w:rPr>
          <w:rFonts w:hint="default" w:ascii="Times New Roman" w:hAnsi="Times New Roman" w:eastAsia="仿宋_GB2312" w:cs="Times New Roman"/>
          <w:kern w:val="21"/>
          <w:sz w:val="32"/>
          <w:szCs w:val="32"/>
        </w:rPr>
        <w:t>积极融入全市“432”产业体系，谋划布局人工智能、生物制造等未来产业。人工智能方面，聚焦先进制造业、现代农业、现代服务业、政务服务等领域，实施“人工智能+”行动，推动</w:t>
      </w:r>
      <w:r>
        <w:rPr>
          <w:rFonts w:hint="default" w:ascii="Times New Roman" w:hAnsi="Times New Roman" w:cs="Times New Roman"/>
          <w:kern w:val="21"/>
          <w:sz w:val="32"/>
          <w:szCs w:val="32"/>
          <w:lang w:val="en-US" w:eastAsia="zh-CN"/>
        </w:rPr>
        <w:t>人工智能与各行业领域</w:t>
      </w:r>
      <w:r>
        <w:rPr>
          <w:rFonts w:hint="default" w:ascii="Times New Roman" w:hAnsi="Times New Roman" w:eastAsia="仿宋_GB2312" w:cs="Times New Roman"/>
          <w:kern w:val="21"/>
          <w:sz w:val="32"/>
          <w:szCs w:val="32"/>
        </w:rPr>
        <w:t>广泛深度融合。生物制造方面，紧扣国家生物制造战略导向，支持现有化工企业谋划建设重点产业项目；</w:t>
      </w:r>
      <w:r>
        <w:rPr>
          <w:rFonts w:hint="default" w:ascii="Times New Roman" w:hAnsi="Times New Roman" w:cs="Times New Roman"/>
          <w:kern w:val="21"/>
          <w:sz w:val="32"/>
          <w:szCs w:val="32"/>
          <w:lang w:val="en-US" w:eastAsia="zh-CN"/>
        </w:rPr>
        <w:t>积极</w:t>
      </w:r>
      <w:r>
        <w:rPr>
          <w:rFonts w:hint="default" w:ascii="Times New Roman" w:hAnsi="Times New Roman" w:eastAsia="仿宋_GB2312" w:cs="Times New Roman"/>
          <w:kern w:val="21"/>
          <w:sz w:val="32"/>
          <w:szCs w:val="32"/>
        </w:rPr>
        <w:t>对接国内外知名高校、科研机构，向生物材料、生物食品等制造领域拓展。</w:t>
      </w:r>
    </w:p>
    <w:p w14:paraId="1556A7A1">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22" w:name="_Toc1480140176"/>
      <w:r>
        <w:rPr>
          <w:rFonts w:hint="eastAsia" w:ascii="楷体_GB2312" w:hAnsi="楷体_GB2312" w:eastAsia="楷体_GB2312" w:cs="楷体_GB2312"/>
          <w:kern w:val="21"/>
          <w:sz w:val="32"/>
          <w:szCs w:val="32"/>
          <w:highlight w:val="none"/>
          <w:lang w:val="en-US" w:eastAsia="zh-CN"/>
        </w:rPr>
        <w:t>第三节  促进服务业优质高效发展</w:t>
      </w:r>
      <w:bookmarkEnd w:id="22"/>
    </w:p>
    <w:p w14:paraId="71F33281">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eastAsia="zh-CN"/>
        </w:rPr>
      </w:pPr>
      <w:r>
        <w:rPr>
          <w:rFonts w:hint="default" w:ascii="Times New Roman" w:hAnsi="Times New Roman" w:cs="Times New Roman"/>
          <w:kern w:val="21"/>
          <w:sz w:val="32"/>
          <w:szCs w:val="32"/>
          <w:lang w:eastAsia="zh-CN"/>
        </w:rPr>
        <w:t>充分发挥区位交通优势，</w:t>
      </w:r>
      <w:r>
        <w:rPr>
          <w:rFonts w:hint="default" w:ascii="Times New Roman" w:hAnsi="Times New Roman" w:cs="Times New Roman"/>
          <w:kern w:val="21"/>
          <w:sz w:val="32"/>
          <w:szCs w:val="32"/>
          <w:lang w:val="en-US" w:eastAsia="zh-CN"/>
        </w:rPr>
        <w:t>实施服务业扩能提质行动，推动生产性服务业提档升级、生活性服务业扩容提质，打造现代服务业集聚区。</w:t>
      </w:r>
    </w:p>
    <w:p w14:paraId="7E254CC0">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eastAsia="zh-CN"/>
        </w:rPr>
      </w:pPr>
      <w:r>
        <w:rPr>
          <w:rFonts w:hint="eastAsia" w:ascii="楷体_GB2312" w:hAnsi="楷体_GB2312" w:eastAsia="楷体_GB2312" w:cs="楷体_GB2312"/>
          <w:kern w:val="21"/>
          <w:sz w:val="32"/>
          <w:szCs w:val="32"/>
          <w:lang w:val="en-US" w:eastAsia="zh-CN"/>
        </w:rPr>
        <w:t>推动生产性服务业向专业化、高端化发展。</w:t>
      </w:r>
      <w:r>
        <w:rPr>
          <w:rFonts w:hint="default" w:ascii="Times New Roman" w:hAnsi="Times New Roman" w:cs="Times New Roman"/>
          <w:kern w:val="21"/>
          <w:sz w:val="32"/>
          <w:szCs w:val="32"/>
          <w:lang w:val="en-US" w:eastAsia="zh-CN"/>
        </w:rPr>
        <w:t>聚焦现代物流、现代金融、科技服务等重点领域，强化融合创新、数字赋能，打造区域性生产性服务业新高地。</w:t>
      </w:r>
      <w:r>
        <w:rPr>
          <w:rFonts w:hint="default" w:ascii="Times New Roman" w:hAnsi="Times New Roman" w:cs="Times New Roman"/>
          <w:kern w:val="21"/>
          <w:sz w:val="32"/>
          <w:szCs w:val="32"/>
          <w:lang w:eastAsia="zh-CN"/>
        </w:rPr>
        <w:t>现代物流</w:t>
      </w:r>
      <w:r>
        <w:rPr>
          <w:rFonts w:hint="default" w:ascii="Times New Roman" w:hAnsi="Times New Roman" w:cs="Times New Roman"/>
          <w:kern w:val="21"/>
          <w:sz w:val="32"/>
          <w:szCs w:val="32"/>
          <w:lang w:val="en-US" w:eastAsia="zh-CN"/>
        </w:rPr>
        <w:t>业</w:t>
      </w:r>
      <w:r>
        <w:rPr>
          <w:rFonts w:hint="default" w:ascii="Times New Roman" w:hAnsi="Times New Roman" w:cs="Times New Roman"/>
          <w:kern w:val="21"/>
          <w:sz w:val="32"/>
          <w:szCs w:val="32"/>
          <w:lang w:eastAsia="zh-CN"/>
        </w:rPr>
        <w:t>，聚焦多式联运、冷链物流、智慧物流</w:t>
      </w:r>
      <w:r>
        <w:rPr>
          <w:rFonts w:hint="default" w:ascii="Times New Roman" w:hAnsi="Times New Roman" w:cs="Times New Roman"/>
          <w:kern w:val="21"/>
          <w:sz w:val="32"/>
          <w:szCs w:val="32"/>
          <w:lang w:val="en-US" w:eastAsia="zh-CN"/>
        </w:rPr>
        <w:t>重点</w:t>
      </w:r>
      <w:r>
        <w:rPr>
          <w:rFonts w:hint="default" w:ascii="Times New Roman" w:hAnsi="Times New Roman" w:cs="Times New Roman"/>
          <w:kern w:val="21"/>
          <w:sz w:val="32"/>
          <w:szCs w:val="32"/>
          <w:lang w:eastAsia="zh-CN"/>
        </w:rPr>
        <w:t>方向，升级枣庄港薛城港区物流配套设施，</w:t>
      </w:r>
      <w:r>
        <w:rPr>
          <w:rFonts w:hint="default" w:ascii="Times New Roman" w:hAnsi="Times New Roman" w:eastAsia="仿宋_GB2312" w:cs="Times New Roman"/>
          <w:b w:val="0"/>
          <w:bCs w:val="0"/>
          <w:color w:val="auto"/>
          <w:kern w:val="2"/>
          <w:sz w:val="32"/>
          <w:szCs w:val="32"/>
          <w:lang w:val="en-US" w:eastAsia="zh-CN" w:bidi="ar-SA"/>
        </w:rPr>
        <w:t>加快建设</w:t>
      </w:r>
      <w:r>
        <w:rPr>
          <w:rFonts w:hint="default" w:ascii="Times New Roman" w:hAnsi="Times New Roman" w:cs="Times New Roman"/>
          <w:b w:val="0"/>
          <w:bCs w:val="0"/>
          <w:color w:val="auto"/>
          <w:kern w:val="2"/>
          <w:sz w:val="32"/>
          <w:szCs w:val="32"/>
          <w:lang w:val="en-US" w:eastAsia="zh-CN" w:bidi="ar-SA"/>
        </w:rPr>
        <w:t>薛城</w:t>
      </w:r>
      <w:r>
        <w:rPr>
          <w:rFonts w:hint="default" w:ascii="Times New Roman" w:hAnsi="Times New Roman" w:eastAsia="仿宋_GB2312" w:cs="Times New Roman"/>
          <w:b w:val="0"/>
          <w:bCs w:val="0"/>
          <w:color w:val="auto"/>
          <w:kern w:val="2"/>
          <w:sz w:val="32"/>
          <w:szCs w:val="32"/>
          <w:lang w:val="en-US" w:eastAsia="zh-CN" w:bidi="ar-SA"/>
        </w:rPr>
        <w:t>港区通用泊位工程</w:t>
      </w:r>
      <w:r>
        <w:rPr>
          <w:rFonts w:hint="default" w:ascii="Times New Roman" w:hAnsi="Times New Roman" w:cs="Times New Roman"/>
          <w:b w:val="0"/>
          <w:bCs w:val="0"/>
          <w:color w:val="auto"/>
          <w:kern w:val="2"/>
          <w:sz w:val="32"/>
          <w:szCs w:val="32"/>
          <w:lang w:val="en-US" w:eastAsia="zh-CN" w:bidi="ar-SA"/>
        </w:rPr>
        <w:t>等项目</w:t>
      </w:r>
      <w:r>
        <w:rPr>
          <w:rFonts w:hint="default" w:ascii="Times New Roman" w:hAnsi="Times New Roman" w:eastAsia="仿宋_GB2312" w:cs="Times New Roman"/>
          <w:b w:val="0"/>
          <w:bCs w:val="0"/>
          <w:color w:val="auto"/>
          <w:kern w:val="2"/>
          <w:sz w:val="32"/>
          <w:szCs w:val="32"/>
          <w:lang w:val="en-US" w:eastAsia="zh-CN" w:bidi="ar-SA"/>
        </w:rPr>
        <w:t>，</w:t>
      </w:r>
      <w:r>
        <w:rPr>
          <w:rFonts w:hint="default" w:ascii="Times New Roman" w:hAnsi="Times New Roman" w:cs="Times New Roman"/>
          <w:kern w:val="21"/>
          <w:sz w:val="32"/>
          <w:szCs w:val="32"/>
          <w:lang w:eastAsia="zh-CN"/>
        </w:rPr>
        <w:t>完善“公铁水”协同物流网络，</w:t>
      </w:r>
      <w:r>
        <w:rPr>
          <w:rFonts w:hint="default" w:ascii="Times New Roman" w:hAnsi="Times New Roman" w:cs="Times New Roman"/>
          <w:kern w:val="21"/>
          <w:sz w:val="32"/>
          <w:szCs w:val="32"/>
          <w:lang w:val="en-US" w:eastAsia="zh-CN"/>
        </w:rPr>
        <w:t>发展粮食、建材等大宗商品物流。</w:t>
      </w:r>
      <w:r>
        <w:rPr>
          <w:rFonts w:hint="default" w:ascii="Times New Roman" w:hAnsi="Times New Roman" w:cs="Times New Roman"/>
          <w:kern w:val="21"/>
          <w:sz w:val="32"/>
          <w:szCs w:val="32"/>
          <w:lang w:eastAsia="zh-CN"/>
        </w:rPr>
        <w:t>推进</w:t>
      </w:r>
      <w:r>
        <w:rPr>
          <w:rFonts w:hint="default" w:ascii="Times New Roman" w:hAnsi="Times New Roman" w:eastAsia="仿宋_GB2312" w:cs="Times New Roman"/>
          <w:b w:val="0"/>
          <w:color w:val="auto"/>
          <w:kern w:val="2"/>
          <w:sz w:val="32"/>
          <w:szCs w:val="32"/>
          <w:highlight w:val="none"/>
          <w:lang w:val="en-US" w:eastAsia="zh-CN" w:bidi="ar-SA"/>
        </w:rPr>
        <w:t>京东（枣庄）智慧物流</w:t>
      </w:r>
      <w:r>
        <w:rPr>
          <w:rFonts w:hint="default" w:ascii="Times New Roman" w:hAnsi="Times New Roman" w:cs="Times New Roman"/>
          <w:b w:val="0"/>
          <w:color w:val="auto"/>
          <w:kern w:val="2"/>
          <w:sz w:val="32"/>
          <w:szCs w:val="32"/>
          <w:highlight w:val="none"/>
          <w:lang w:val="en-US" w:eastAsia="zh-CN" w:bidi="ar-SA"/>
        </w:rPr>
        <w:t>园二期、</w:t>
      </w:r>
      <w:r>
        <w:rPr>
          <w:rFonts w:hint="default" w:ascii="Times New Roman" w:hAnsi="Times New Roman" w:cs="Times New Roman"/>
          <w:kern w:val="21"/>
          <w:sz w:val="32"/>
          <w:szCs w:val="32"/>
          <w:lang w:eastAsia="zh-CN"/>
        </w:rPr>
        <w:t>鲁南智能冷链物流产业园、弘祥冷链智慧物流园等项目建设，</w:t>
      </w:r>
      <w:r>
        <w:rPr>
          <w:rFonts w:hint="default" w:ascii="Times New Roman" w:hAnsi="Times New Roman" w:cs="Times New Roman"/>
          <w:kern w:val="21"/>
          <w:sz w:val="32"/>
          <w:szCs w:val="32"/>
          <w:lang w:val="en-US" w:eastAsia="zh-CN"/>
        </w:rPr>
        <w:t>招引国内知名快递快运企业设立分拨中心。</w:t>
      </w:r>
      <w:r>
        <w:rPr>
          <w:rFonts w:hint="default" w:ascii="Times New Roman" w:hAnsi="Times New Roman" w:cs="Times New Roman"/>
          <w:kern w:val="21"/>
          <w:sz w:val="32"/>
          <w:szCs w:val="32"/>
          <w:highlight w:val="none"/>
          <w:lang w:eastAsia="zh-CN"/>
        </w:rPr>
        <w:t>商务服务</w:t>
      </w:r>
      <w:r>
        <w:rPr>
          <w:rFonts w:hint="default" w:ascii="Times New Roman" w:hAnsi="Times New Roman" w:cs="Times New Roman"/>
          <w:kern w:val="21"/>
          <w:sz w:val="32"/>
          <w:szCs w:val="32"/>
          <w:highlight w:val="none"/>
          <w:lang w:val="en-US" w:eastAsia="zh-CN"/>
        </w:rPr>
        <w:t>业</w:t>
      </w:r>
      <w:r>
        <w:rPr>
          <w:rFonts w:hint="default" w:ascii="Times New Roman" w:hAnsi="Times New Roman" w:cs="Times New Roman"/>
          <w:kern w:val="21"/>
          <w:sz w:val="32"/>
          <w:szCs w:val="32"/>
          <w:highlight w:val="none"/>
          <w:lang w:eastAsia="zh-CN"/>
        </w:rPr>
        <w:t>，</w:t>
      </w:r>
      <w:r>
        <w:rPr>
          <w:rFonts w:hint="default" w:ascii="Times New Roman" w:hAnsi="Times New Roman" w:cs="Times New Roman"/>
          <w:kern w:val="21"/>
          <w:sz w:val="32"/>
          <w:szCs w:val="32"/>
          <w:highlight w:val="none"/>
          <w:lang w:val="en-US" w:eastAsia="zh-CN"/>
        </w:rPr>
        <w:t>依托天衢商贸城、德鑫广场、鸿基国际等楼宇资源，</w:t>
      </w:r>
      <w:r>
        <w:rPr>
          <w:rFonts w:hint="default" w:ascii="Times New Roman" w:hAnsi="Times New Roman" w:cs="Times New Roman"/>
          <w:kern w:val="21"/>
          <w:sz w:val="32"/>
          <w:szCs w:val="32"/>
          <w:highlight w:val="none"/>
          <w:lang w:eastAsia="zh-CN"/>
        </w:rPr>
        <w:t>重点引</w:t>
      </w:r>
      <w:r>
        <w:rPr>
          <w:rFonts w:hint="default" w:ascii="Times New Roman" w:hAnsi="Times New Roman" w:cs="Times New Roman"/>
          <w:kern w:val="21"/>
          <w:sz w:val="32"/>
          <w:szCs w:val="32"/>
          <w:highlight w:val="none"/>
          <w:lang w:val="en-US" w:eastAsia="zh-CN"/>
        </w:rPr>
        <w:t>进</w:t>
      </w:r>
      <w:r>
        <w:rPr>
          <w:rFonts w:hint="default" w:ascii="Times New Roman" w:hAnsi="Times New Roman" w:cs="Times New Roman"/>
          <w:kern w:val="21"/>
          <w:sz w:val="32"/>
          <w:szCs w:val="32"/>
          <w:highlight w:val="none"/>
          <w:lang w:eastAsia="zh-CN"/>
        </w:rPr>
        <w:t>咨询服务、检验检测、工程设计</w:t>
      </w:r>
      <w:r>
        <w:rPr>
          <w:rFonts w:hint="default" w:ascii="Times New Roman" w:hAnsi="Times New Roman" w:cs="Times New Roman"/>
          <w:kern w:val="21"/>
          <w:sz w:val="32"/>
          <w:szCs w:val="32"/>
          <w:highlight w:val="none"/>
          <w:lang w:val="en-US" w:eastAsia="zh-CN"/>
        </w:rPr>
        <w:t>院</w:t>
      </w:r>
      <w:r>
        <w:rPr>
          <w:rFonts w:hint="default" w:ascii="Times New Roman" w:hAnsi="Times New Roman" w:cs="Times New Roman"/>
          <w:kern w:val="21"/>
          <w:sz w:val="32"/>
          <w:szCs w:val="32"/>
          <w:highlight w:val="none"/>
          <w:lang w:eastAsia="zh-CN"/>
        </w:rPr>
        <w:t>、</w:t>
      </w:r>
      <w:r>
        <w:rPr>
          <w:rFonts w:hint="default" w:ascii="Times New Roman" w:hAnsi="Times New Roman" w:cs="Times New Roman"/>
          <w:kern w:val="21"/>
          <w:sz w:val="32"/>
          <w:szCs w:val="32"/>
          <w:highlight w:val="none"/>
          <w:lang w:val="en-US" w:eastAsia="zh-CN"/>
        </w:rPr>
        <w:t>会计师事务所、律师事务所</w:t>
      </w:r>
      <w:r>
        <w:rPr>
          <w:rFonts w:hint="default" w:ascii="Times New Roman" w:hAnsi="Times New Roman" w:cs="Times New Roman"/>
          <w:kern w:val="21"/>
          <w:sz w:val="32"/>
          <w:szCs w:val="32"/>
          <w:highlight w:val="none"/>
          <w:lang w:eastAsia="zh-CN"/>
        </w:rPr>
        <w:t>等</w:t>
      </w:r>
      <w:r>
        <w:rPr>
          <w:rFonts w:hint="default" w:ascii="Times New Roman" w:hAnsi="Times New Roman" w:cs="Times New Roman"/>
          <w:kern w:val="21"/>
          <w:sz w:val="32"/>
          <w:szCs w:val="32"/>
          <w:lang w:eastAsia="zh-CN"/>
        </w:rPr>
        <w:t>，</w:t>
      </w:r>
      <w:r>
        <w:rPr>
          <w:rFonts w:hint="default" w:ascii="Times New Roman" w:hAnsi="Times New Roman" w:cs="Times New Roman"/>
          <w:kern w:val="21"/>
          <w:sz w:val="32"/>
          <w:szCs w:val="32"/>
          <w:lang w:val="en-US" w:eastAsia="zh-CN"/>
        </w:rPr>
        <w:t>鼓励总部企业在薛城设立研发中心、销售中心、结算中心、财务中心等功能机构，引进落地股份制银行、商业银行、保险公司、证券公司等金融机构枣庄总部，大力</w:t>
      </w:r>
      <w:r>
        <w:rPr>
          <w:rFonts w:hint="default" w:ascii="Times New Roman" w:hAnsi="Times New Roman" w:cs="Times New Roman"/>
          <w:kern w:val="21"/>
          <w:sz w:val="32"/>
          <w:szCs w:val="32"/>
          <w:lang w:eastAsia="zh-CN"/>
        </w:rPr>
        <w:t>发展总部经济、楼宇经济。科技服务</w:t>
      </w:r>
      <w:r>
        <w:rPr>
          <w:rFonts w:hint="default" w:ascii="Times New Roman" w:hAnsi="Times New Roman" w:cs="Times New Roman"/>
          <w:kern w:val="21"/>
          <w:sz w:val="32"/>
          <w:szCs w:val="32"/>
          <w:lang w:val="en-US" w:eastAsia="zh-CN"/>
        </w:rPr>
        <w:t>业</w:t>
      </w:r>
      <w:r>
        <w:rPr>
          <w:rFonts w:hint="default" w:ascii="Times New Roman" w:hAnsi="Times New Roman" w:cs="Times New Roman"/>
          <w:kern w:val="21"/>
          <w:sz w:val="32"/>
          <w:szCs w:val="32"/>
          <w:lang w:eastAsia="zh-CN"/>
        </w:rPr>
        <w:t>，围绕产业创新需求，培育技术研发、成果转化、知识产权服务、创业孵化等专业机构，推进产学研协同创新平台建设，</w:t>
      </w:r>
      <w:r>
        <w:rPr>
          <w:rFonts w:hint="default" w:ascii="Times New Roman" w:hAnsi="Times New Roman" w:cs="Times New Roman"/>
          <w:kern w:val="21"/>
          <w:sz w:val="32"/>
          <w:szCs w:val="32"/>
          <w:lang w:val="en-US" w:eastAsia="zh-CN"/>
        </w:rPr>
        <w:t>促进</w:t>
      </w:r>
      <w:r>
        <w:rPr>
          <w:rFonts w:hint="default" w:ascii="Times New Roman" w:hAnsi="Times New Roman" w:cs="Times New Roman"/>
          <w:kern w:val="21"/>
          <w:sz w:val="32"/>
          <w:szCs w:val="32"/>
          <w:lang w:eastAsia="zh-CN"/>
        </w:rPr>
        <w:t>科技服务对</w:t>
      </w:r>
      <w:r>
        <w:rPr>
          <w:rFonts w:hint="default" w:ascii="Times New Roman" w:hAnsi="Times New Roman" w:cs="Times New Roman"/>
          <w:kern w:val="21"/>
          <w:sz w:val="32"/>
          <w:szCs w:val="32"/>
          <w:lang w:val="en-US" w:eastAsia="zh-CN"/>
        </w:rPr>
        <w:t>重点</w:t>
      </w:r>
      <w:r>
        <w:rPr>
          <w:rFonts w:hint="default" w:ascii="Times New Roman" w:hAnsi="Times New Roman" w:cs="Times New Roman"/>
          <w:kern w:val="21"/>
          <w:sz w:val="32"/>
          <w:szCs w:val="32"/>
          <w:lang w:eastAsia="zh-CN"/>
        </w:rPr>
        <w:t>产业的精准赋能，加速科技成果本地转化，</w:t>
      </w:r>
      <w:r>
        <w:rPr>
          <w:rFonts w:hint="default" w:ascii="Times New Roman" w:hAnsi="Times New Roman" w:cs="Times New Roman"/>
          <w:kern w:val="21"/>
          <w:sz w:val="32"/>
          <w:szCs w:val="32"/>
          <w:lang w:val="en-US" w:eastAsia="zh-CN"/>
        </w:rPr>
        <w:t>创新提升政策要素适配度，推动煤炭、钢材、有色金属等大宗商品交易线上集聚发展</w:t>
      </w:r>
      <w:r>
        <w:rPr>
          <w:rFonts w:hint="default" w:ascii="Times New Roman" w:hAnsi="Times New Roman" w:cs="Times New Roman"/>
          <w:kern w:val="21"/>
          <w:sz w:val="32"/>
          <w:szCs w:val="32"/>
          <w:lang w:eastAsia="zh-CN"/>
        </w:rPr>
        <w:t>。</w:t>
      </w:r>
    </w:p>
    <w:p w14:paraId="01A4368A">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eastAsia="zh-CN"/>
        </w:rPr>
      </w:pPr>
      <w:r>
        <w:rPr>
          <w:rFonts w:hint="eastAsia" w:ascii="楷体_GB2312" w:hAnsi="楷体_GB2312" w:eastAsia="楷体_GB2312" w:cs="楷体_GB2312"/>
          <w:kern w:val="21"/>
          <w:sz w:val="32"/>
          <w:szCs w:val="32"/>
          <w:lang w:val="en-US" w:eastAsia="zh-CN"/>
        </w:rPr>
        <w:t>促进生活性服务业向品质化、便利化发展。</w:t>
      </w:r>
      <w:r>
        <w:rPr>
          <w:rFonts w:hint="default" w:ascii="Times New Roman" w:hAnsi="Times New Roman" w:cs="Times New Roman"/>
          <w:kern w:val="21"/>
          <w:sz w:val="32"/>
          <w:szCs w:val="32"/>
          <w:lang w:val="en-US" w:eastAsia="zh-CN"/>
        </w:rPr>
        <w:t>聚焦批零住餐领域，推动商贸零售等业态升级，引进高端商业知名品牌，大力发展“首店经济”，优化万达广场、恒太城等核心商圈功能，全力推动商贸消费升级。提质康养服务，引导社区嵌入式养老服务机构发展和家庭养老床位建设，建成运营亲和源三期、蟠龙源智慧康养一体化等项目，推广“医养结合+智慧养老”模式，实现医养融合发展。积极推动“两院一体”建设，优化养老托育服务，完善城乡养老服务网络，升级乡镇综合养老服务中心、村级互助养老点，实现老有所养、病有所医。兼顾公益性、营利性，持续提升托育、家政、教培服务质量。</w:t>
      </w:r>
    </w:p>
    <w:p w14:paraId="30AFA698">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eastAsia="zh-CN"/>
        </w:rPr>
      </w:pPr>
      <w:r>
        <w:rPr>
          <w:rFonts w:hint="eastAsia" w:ascii="楷体_GB2312" w:hAnsi="楷体_GB2312" w:eastAsia="楷体_GB2312" w:cs="楷体_GB2312"/>
          <w:kern w:val="21"/>
          <w:sz w:val="32"/>
          <w:szCs w:val="32"/>
          <w:lang w:val="en-US" w:eastAsia="zh-CN"/>
        </w:rPr>
        <w:t>提升</w:t>
      </w:r>
      <w:r>
        <w:rPr>
          <w:rFonts w:hint="eastAsia" w:ascii="楷体_GB2312" w:hAnsi="楷体_GB2312" w:eastAsia="楷体_GB2312" w:cs="楷体_GB2312"/>
          <w:kern w:val="21"/>
          <w:sz w:val="32"/>
          <w:szCs w:val="32"/>
          <w:lang w:eastAsia="zh-CN"/>
        </w:rPr>
        <w:t>现代服务业融合发展水平。</w:t>
      </w:r>
      <w:r>
        <w:rPr>
          <w:rFonts w:hint="default" w:ascii="Times New Roman" w:hAnsi="Times New Roman" w:eastAsia="仿宋_GB2312" w:cs="Times New Roman"/>
          <w:kern w:val="21"/>
          <w:sz w:val="32"/>
          <w:szCs w:val="32"/>
          <w:lang w:val="en-US" w:eastAsia="zh-CN"/>
        </w:rPr>
        <w:t>推动现代服务业与先进制造业融合发展，壮大科技研发</w:t>
      </w:r>
      <w:r>
        <w:rPr>
          <w:rFonts w:hint="default" w:ascii="Times New Roman" w:hAnsi="Times New Roman" w:cs="Times New Roman"/>
          <w:kern w:val="21"/>
          <w:sz w:val="32"/>
          <w:szCs w:val="32"/>
          <w:lang w:val="en-US" w:eastAsia="zh-CN"/>
        </w:rPr>
        <w:t>、演艺经济、会计审计、知识产权服务等经营主体，培育中试验证、检验监测等公共服务平台、第三方专业服务商，积极争创省级“两业”融合发展试点。推动现代服务业与现代农业融合发展，提升仓储物流、农机作业及维修、农产品营销、资源回收利用等服务水平。推动现代服务业与数字技术融合发展，培育线上线下融合的服务新模式，推动智慧物流、智慧文旅、智慧康养、智慧政务等场景落地见效。培育新兴业态载体，鼓励发展平台经济、共享经济，壮大跨境电商、直播电商等数字消费业态，开发低空文旅、低空物流等新兴服务，不断培育服务业新增长点。</w:t>
      </w:r>
    </w:p>
    <w:p w14:paraId="46E742A3">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23" w:name="_Toc953025226"/>
      <w:r>
        <w:rPr>
          <w:rFonts w:hint="eastAsia" w:ascii="楷体_GB2312" w:hAnsi="楷体_GB2312" w:eastAsia="楷体_GB2312" w:cs="楷体_GB2312"/>
          <w:kern w:val="21"/>
          <w:sz w:val="32"/>
          <w:szCs w:val="32"/>
          <w:highlight w:val="none"/>
          <w:lang w:val="en-US" w:eastAsia="zh-CN"/>
        </w:rPr>
        <w:t>第四节  强化产业生态支撑体系</w:t>
      </w:r>
      <w:bookmarkEnd w:id="23"/>
    </w:p>
    <w:p w14:paraId="0926F60E">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kern w:val="21"/>
          <w:sz w:val="32"/>
          <w:szCs w:val="32"/>
        </w:rPr>
      </w:pPr>
      <w:r>
        <w:rPr>
          <w:rFonts w:hint="default" w:ascii="Times New Roman" w:hAnsi="Times New Roman" w:eastAsia="仿宋_GB2312" w:cs="Times New Roman"/>
          <w:kern w:val="21"/>
          <w:sz w:val="32"/>
          <w:szCs w:val="32"/>
        </w:rPr>
        <w:t>聚焦技改赋能、园区提质、金融护航三大关键环节，构建协同高效、支撑有力的产业生态，为产业高质量发展提供全方位保障。</w:t>
      </w:r>
    </w:p>
    <w:p w14:paraId="172734A8">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kern w:val="21"/>
          <w:sz w:val="32"/>
          <w:szCs w:val="32"/>
        </w:rPr>
      </w:pPr>
      <w:r>
        <w:rPr>
          <w:rFonts w:hint="default" w:ascii="Times New Roman" w:hAnsi="Times New Roman" w:eastAsia="楷体_GB2312" w:cs="Times New Roman"/>
          <w:b w:val="0"/>
          <w:bCs w:val="0"/>
          <w:kern w:val="21"/>
          <w:sz w:val="32"/>
          <w:szCs w:val="32"/>
        </w:rPr>
        <w:t>深化“技改焕新”行动。</w:t>
      </w:r>
      <w:r>
        <w:rPr>
          <w:rFonts w:hint="default" w:ascii="Times New Roman" w:hAnsi="Times New Roman" w:cs="Times New Roman"/>
          <w:kern w:val="21"/>
          <w:sz w:val="32"/>
          <w:szCs w:val="32"/>
          <w:lang w:val="en-US" w:eastAsia="zh-CN"/>
        </w:rPr>
        <w:t>促进</w:t>
      </w:r>
      <w:r>
        <w:rPr>
          <w:rFonts w:hint="default" w:ascii="Times New Roman" w:hAnsi="Times New Roman" w:eastAsia="仿宋_GB2312" w:cs="Times New Roman"/>
          <w:kern w:val="21"/>
          <w:sz w:val="32"/>
          <w:szCs w:val="32"/>
        </w:rPr>
        <w:t>规上工业企业</w:t>
      </w:r>
      <w:r>
        <w:rPr>
          <w:rFonts w:hint="default" w:ascii="Times New Roman" w:hAnsi="Times New Roman" w:cs="Times New Roman"/>
          <w:kern w:val="21"/>
          <w:sz w:val="32"/>
          <w:szCs w:val="32"/>
          <w:lang w:val="en-US" w:eastAsia="zh-CN"/>
        </w:rPr>
        <w:t>加大</w:t>
      </w:r>
      <w:r>
        <w:rPr>
          <w:rFonts w:hint="default" w:ascii="Times New Roman" w:hAnsi="Times New Roman" w:eastAsia="仿宋_GB2312" w:cs="Times New Roman"/>
          <w:kern w:val="21"/>
          <w:sz w:val="32"/>
          <w:szCs w:val="32"/>
        </w:rPr>
        <w:t>技改</w:t>
      </w:r>
      <w:r>
        <w:rPr>
          <w:rFonts w:hint="default" w:ascii="Times New Roman" w:hAnsi="Times New Roman" w:cs="Times New Roman"/>
          <w:kern w:val="21"/>
          <w:sz w:val="32"/>
          <w:szCs w:val="32"/>
          <w:lang w:val="en-US" w:eastAsia="zh-CN"/>
        </w:rPr>
        <w:t>力度</w:t>
      </w:r>
      <w:r>
        <w:rPr>
          <w:rFonts w:hint="default" w:ascii="Times New Roman" w:hAnsi="Times New Roman" w:eastAsia="仿宋_GB2312" w:cs="Times New Roman"/>
          <w:kern w:val="21"/>
          <w:sz w:val="32"/>
          <w:szCs w:val="32"/>
        </w:rPr>
        <w:t>，引导中小微企业开展“微改造、精提升”，紧扣智能化、绿色化、</w:t>
      </w:r>
      <w:r>
        <w:rPr>
          <w:rFonts w:hint="default" w:ascii="Times New Roman" w:hAnsi="Times New Roman" w:cs="Times New Roman"/>
          <w:kern w:val="21"/>
          <w:sz w:val="32"/>
          <w:szCs w:val="32"/>
          <w:lang w:val="en-US" w:eastAsia="zh-CN"/>
        </w:rPr>
        <w:t>融合</w:t>
      </w:r>
      <w:r>
        <w:rPr>
          <w:rFonts w:hint="default" w:ascii="Times New Roman" w:hAnsi="Times New Roman" w:eastAsia="仿宋_GB2312" w:cs="Times New Roman"/>
          <w:kern w:val="21"/>
          <w:sz w:val="32"/>
          <w:szCs w:val="32"/>
        </w:rPr>
        <w:t>化转型方向，推动传统产业加速向新质生产力迭代升级。以培育智能工厂、绿色工厂为抓手，大力推广智能传感、节能降碳等新技术新装备，持续提升生产效率与绿色发展水平。健全技改扶持政策体系，落实专项扶持资金等优惠政策，优化</w:t>
      </w:r>
      <w:r>
        <w:rPr>
          <w:rFonts w:hint="default" w:ascii="Times New Roman" w:hAnsi="Times New Roman" w:cs="Times New Roman"/>
          <w:kern w:val="21"/>
          <w:sz w:val="32"/>
          <w:szCs w:val="32"/>
          <w:lang w:val="en-US" w:eastAsia="zh-CN"/>
        </w:rPr>
        <w:t>技改项目</w:t>
      </w:r>
      <w:r>
        <w:rPr>
          <w:rFonts w:hint="default" w:ascii="Times New Roman" w:hAnsi="Times New Roman" w:eastAsia="仿宋_GB2312" w:cs="Times New Roman"/>
          <w:kern w:val="21"/>
          <w:sz w:val="32"/>
          <w:szCs w:val="32"/>
        </w:rPr>
        <w:t>“一站式”服务机制，降低企业技改门槛与成本，充分激发市场主体技改积极性与主动性。</w:t>
      </w:r>
    </w:p>
    <w:p w14:paraId="396D1521">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kern w:val="21"/>
          <w:sz w:val="32"/>
          <w:szCs w:val="32"/>
        </w:rPr>
      </w:pPr>
      <w:r>
        <w:rPr>
          <w:rFonts w:hint="eastAsia" w:ascii="楷体_GB2312" w:hAnsi="楷体_GB2312" w:eastAsia="楷体_GB2312" w:cs="楷体_GB2312"/>
          <w:b w:val="0"/>
          <w:bCs w:val="0"/>
          <w:kern w:val="21"/>
          <w:sz w:val="32"/>
          <w:szCs w:val="32"/>
        </w:rPr>
        <w:t>提升园区承载能力。</w:t>
      </w:r>
      <w:r>
        <w:rPr>
          <w:rFonts w:hint="default" w:ascii="Times New Roman" w:hAnsi="Times New Roman" w:eastAsia="仿宋_GB2312" w:cs="Times New Roman"/>
          <w:kern w:val="21"/>
          <w:sz w:val="32"/>
          <w:szCs w:val="32"/>
        </w:rPr>
        <w:t>推进</w:t>
      </w:r>
      <w:r>
        <w:rPr>
          <w:rFonts w:hint="default" w:ascii="Times New Roman" w:hAnsi="Times New Roman" w:cs="Times New Roman"/>
          <w:kern w:val="21"/>
          <w:sz w:val="32"/>
          <w:szCs w:val="32"/>
          <w:lang w:val="en-US" w:eastAsia="zh-CN"/>
        </w:rPr>
        <w:t>薛城经济开发区</w:t>
      </w:r>
      <w:r>
        <w:rPr>
          <w:rFonts w:hint="default" w:ascii="Times New Roman" w:hAnsi="Times New Roman" w:eastAsia="仿宋_GB2312" w:cs="Times New Roman"/>
          <w:kern w:val="21"/>
          <w:sz w:val="32"/>
          <w:szCs w:val="32"/>
        </w:rPr>
        <w:t>、化工</w:t>
      </w:r>
      <w:r>
        <w:rPr>
          <w:rFonts w:hint="default" w:ascii="Times New Roman" w:hAnsi="Times New Roman" w:cs="Times New Roman"/>
          <w:kern w:val="21"/>
          <w:sz w:val="32"/>
          <w:szCs w:val="32"/>
          <w:lang w:val="en-US" w:eastAsia="zh-CN"/>
        </w:rPr>
        <w:t>产业园</w:t>
      </w:r>
      <w:r>
        <w:rPr>
          <w:rFonts w:hint="default" w:ascii="Times New Roman" w:hAnsi="Times New Roman" w:eastAsia="仿宋_GB2312" w:cs="Times New Roman"/>
          <w:kern w:val="21"/>
          <w:sz w:val="32"/>
          <w:szCs w:val="32"/>
        </w:rPr>
        <w:t>等载体提质升级，重点完善标准化厂房、公共测试平台、物流仓储、供排水、电力通信等基础设施，补齐硬件支撑短板。聚焦</w:t>
      </w:r>
      <w:r>
        <w:rPr>
          <w:rFonts w:hint="eastAsia" w:ascii="Times New Roman" w:hAnsi="Times New Roman" w:cs="Times New Roman"/>
          <w:kern w:val="21"/>
          <w:sz w:val="32"/>
          <w:szCs w:val="32"/>
          <w:lang w:val="en-US" w:eastAsia="zh-CN"/>
        </w:rPr>
        <w:t>化工新材料</w:t>
      </w:r>
      <w:r>
        <w:rPr>
          <w:rFonts w:hint="default" w:ascii="Times New Roman" w:hAnsi="Times New Roman" w:eastAsia="仿宋_GB2312" w:cs="Times New Roman"/>
          <w:kern w:val="21"/>
          <w:sz w:val="32"/>
          <w:szCs w:val="32"/>
        </w:rPr>
        <w:t>、低空经济等重点产业，打造“区中园”特色载体，强化产业集聚效应，促进企业间资源共享、产业链上下游协同配套，形成分工明确、优势互补的产业集群生态。</w:t>
      </w:r>
    </w:p>
    <w:p w14:paraId="512C79C8">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kern w:val="21"/>
          <w:sz w:val="32"/>
          <w:szCs w:val="32"/>
        </w:rPr>
      </w:pPr>
      <w:r>
        <w:rPr>
          <w:rFonts w:hint="eastAsia" w:ascii="楷体_GB2312" w:hAnsi="楷体_GB2312" w:eastAsia="楷体_GB2312" w:cs="楷体_GB2312"/>
          <w:b w:val="0"/>
          <w:bCs w:val="0"/>
          <w:kern w:val="21"/>
          <w:sz w:val="32"/>
          <w:szCs w:val="32"/>
        </w:rPr>
        <w:t>健全金融服务保障体系。</w:t>
      </w:r>
      <w:r>
        <w:rPr>
          <w:rFonts w:hint="default" w:ascii="Times New Roman" w:hAnsi="Times New Roman" w:eastAsia="仿宋_GB2312" w:cs="Times New Roman"/>
          <w:kern w:val="21"/>
          <w:sz w:val="32"/>
          <w:szCs w:val="32"/>
        </w:rPr>
        <w:t>设立产业发展基金</w:t>
      </w:r>
      <w:r>
        <w:rPr>
          <w:rFonts w:hint="default" w:ascii="Times New Roman" w:hAnsi="Times New Roman" w:cs="Times New Roman"/>
          <w:kern w:val="21"/>
          <w:sz w:val="32"/>
          <w:szCs w:val="32"/>
          <w:lang w:eastAsia="zh-CN"/>
        </w:rPr>
        <w:t>，</w:t>
      </w:r>
      <w:r>
        <w:rPr>
          <w:rFonts w:hint="default" w:ascii="Times New Roman" w:hAnsi="Times New Roman" w:eastAsia="仿宋_GB2312" w:cs="Times New Roman"/>
          <w:kern w:val="21"/>
          <w:sz w:val="32"/>
          <w:szCs w:val="32"/>
        </w:rPr>
        <w:t>重点投向</w:t>
      </w:r>
      <w:r>
        <w:rPr>
          <w:rFonts w:hint="default" w:ascii="Times New Roman" w:hAnsi="Times New Roman" w:cs="Times New Roman"/>
          <w:kern w:val="21"/>
          <w:sz w:val="32"/>
          <w:szCs w:val="32"/>
          <w:lang w:val="en-US" w:eastAsia="zh-CN"/>
        </w:rPr>
        <w:t>传统</w:t>
      </w:r>
      <w:r>
        <w:rPr>
          <w:rFonts w:hint="default" w:ascii="Times New Roman" w:hAnsi="Times New Roman" w:eastAsia="仿宋_GB2312" w:cs="Times New Roman"/>
          <w:kern w:val="21"/>
          <w:sz w:val="32"/>
          <w:szCs w:val="32"/>
        </w:rPr>
        <w:t>产业升级、</w:t>
      </w:r>
      <w:r>
        <w:rPr>
          <w:rFonts w:hint="default" w:ascii="Times New Roman" w:hAnsi="Times New Roman" w:cs="Times New Roman"/>
          <w:kern w:val="21"/>
          <w:sz w:val="32"/>
          <w:szCs w:val="32"/>
          <w:lang w:val="en-US" w:eastAsia="zh-CN"/>
        </w:rPr>
        <w:t>新兴</w:t>
      </w:r>
      <w:r>
        <w:rPr>
          <w:rFonts w:hint="default" w:ascii="Times New Roman" w:hAnsi="Times New Roman" w:eastAsia="仿宋_GB2312" w:cs="Times New Roman"/>
          <w:kern w:val="21"/>
          <w:sz w:val="32"/>
          <w:szCs w:val="32"/>
        </w:rPr>
        <w:t>产业培育及重大项目落地，发挥财政资金撬动作用。</w:t>
      </w:r>
      <w:r>
        <w:rPr>
          <w:rFonts w:hint="default" w:ascii="Times New Roman" w:hAnsi="Times New Roman" w:cs="Times New Roman"/>
          <w:kern w:val="21"/>
          <w:sz w:val="32"/>
          <w:szCs w:val="32"/>
          <w:lang w:val="en-US" w:eastAsia="zh-CN"/>
        </w:rPr>
        <w:t>用好</w:t>
      </w:r>
      <w:r>
        <w:rPr>
          <w:rFonts w:hint="default" w:ascii="Times New Roman" w:hAnsi="Times New Roman" w:eastAsia="仿宋_GB2312" w:cs="Times New Roman"/>
          <w:kern w:val="21"/>
          <w:sz w:val="32"/>
          <w:szCs w:val="32"/>
        </w:rPr>
        <w:t>“科创贷”“技改贷”“绿色贷”等定制化金融产品，深化政银企对接机制，拓宽企业融资渠道，有效降低融资成本。支持优质企业通过挂牌上市、债券融资等直接融资方式做大做强。健全融资担保、风险补偿长效机制，加大对中小微企业的金融支持力度，着力破解融资难、融资贵问题，为产业发展注入稳定金融活水。</w:t>
      </w:r>
    </w:p>
    <w:tbl>
      <w:tblPr>
        <w:tblStyle w:val="16"/>
        <w:tblW w:w="8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0"/>
      </w:tblGrid>
      <w:tr w14:paraId="331B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tblHeader/>
          <w:jc w:val="center"/>
        </w:trPr>
        <w:tc>
          <w:tcPr>
            <w:tcW w:w="8440" w:type="dxa"/>
            <w:noWrap w:val="0"/>
            <w:vAlign w:val="center"/>
          </w:tcPr>
          <w:p w14:paraId="5C37E688">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00" w:lineRule="exact"/>
              <w:ind w:left="0" w:right="0" w:firstLine="0" w:firstLineChars="0"/>
              <w:jc w:val="center"/>
              <w:textAlignment w:val="auto"/>
              <w:rPr>
                <w:rFonts w:hint="default" w:ascii="Times New Roman" w:hAnsi="Times New Roman" w:eastAsia="黑体" w:cs="Times New Roman"/>
                <w:b w:val="0"/>
                <w:bCs w:val="0"/>
                <w:spacing w:val="0"/>
                <w:kern w:val="21"/>
                <w:sz w:val="28"/>
                <w:szCs w:val="28"/>
              </w:rPr>
            </w:pPr>
            <w:r>
              <w:rPr>
                <w:rFonts w:hint="default" w:ascii="Times New Roman" w:hAnsi="Times New Roman" w:eastAsia="黑体" w:cs="Times New Roman"/>
                <w:b w:val="0"/>
                <w:bCs w:val="0"/>
                <w:spacing w:val="0"/>
                <w:kern w:val="21"/>
                <w:sz w:val="28"/>
                <w:szCs w:val="28"/>
                <w:highlight w:val="none"/>
              </w:rPr>
              <w:t>专栏</w:t>
            </w:r>
            <w:r>
              <w:rPr>
                <w:rFonts w:hint="default" w:ascii="Times New Roman" w:hAnsi="Times New Roman" w:eastAsia="黑体" w:cs="Times New Roman"/>
                <w:b w:val="0"/>
                <w:bCs w:val="0"/>
                <w:spacing w:val="0"/>
                <w:kern w:val="21"/>
                <w:sz w:val="28"/>
                <w:szCs w:val="28"/>
                <w:highlight w:val="none"/>
                <w:lang w:val="en-US" w:eastAsia="zh-CN"/>
              </w:rPr>
              <w:t>1</w:t>
            </w:r>
            <w:r>
              <w:rPr>
                <w:rFonts w:hint="default" w:ascii="Times New Roman" w:hAnsi="Times New Roman" w:eastAsia="黑体" w:cs="Times New Roman"/>
                <w:b w:val="0"/>
                <w:bCs w:val="0"/>
                <w:spacing w:val="0"/>
                <w:kern w:val="21"/>
                <w:sz w:val="28"/>
                <w:szCs w:val="28"/>
              </w:rPr>
              <w:t>：</w:t>
            </w:r>
            <w:r>
              <w:rPr>
                <w:rFonts w:hint="default" w:ascii="Times New Roman" w:hAnsi="Times New Roman" w:eastAsia="黑体" w:cs="Times New Roman"/>
                <w:b w:val="0"/>
                <w:bCs w:val="0"/>
                <w:spacing w:val="0"/>
                <w:kern w:val="21"/>
                <w:sz w:val="28"/>
                <w:szCs w:val="28"/>
                <w:lang w:val="en-US" w:eastAsia="zh-CN"/>
              </w:rPr>
              <w:t>关键产业发展</w:t>
            </w:r>
            <w:r>
              <w:rPr>
                <w:rFonts w:hint="default" w:ascii="Times New Roman" w:hAnsi="Times New Roman" w:eastAsia="黑体" w:cs="Times New Roman"/>
                <w:b w:val="0"/>
                <w:bCs w:val="0"/>
                <w:spacing w:val="0"/>
                <w:kern w:val="21"/>
                <w:sz w:val="28"/>
                <w:szCs w:val="28"/>
              </w:rPr>
              <w:t>重点项目</w:t>
            </w:r>
          </w:p>
        </w:tc>
      </w:tr>
      <w:tr w14:paraId="77D5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40" w:type="dxa"/>
            <w:noWrap w:val="0"/>
            <w:vAlign w:val="center"/>
          </w:tcPr>
          <w:p w14:paraId="656EBDDF">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highlight w:val="none"/>
                <w:lang w:val="en-US" w:eastAsia="zh-CN"/>
              </w:rPr>
            </w:pPr>
            <w:r>
              <w:rPr>
                <w:rFonts w:hint="default" w:ascii="Times New Roman" w:hAnsi="Times New Roman" w:cs="Times New Roman"/>
                <w:b w:val="0"/>
                <w:bCs w:val="0"/>
                <w:spacing w:val="0"/>
                <w:kern w:val="21"/>
                <w:sz w:val="28"/>
                <w:szCs w:val="28"/>
                <w:highlight w:val="none"/>
                <w:lang w:val="en-US" w:eastAsia="zh-CN"/>
              </w:rPr>
              <w:t>1.嘉益医药新材料项目</w:t>
            </w:r>
          </w:p>
          <w:p w14:paraId="3DB3FF10">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2.华博环保10万吨/年失活催化剂利用再生项目</w:t>
            </w:r>
          </w:p>
          <w:p w14:paraId="26C5A50B">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3.凯瑞年产10万吨高端精细化学品项目</w:t>
            </w:r>
          </w:p>
          <w:p w14:paraId="21ABE275">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4.和荣年产9500吨精细化工产品项目</w:t>
            </w:r>
          </w:p>
          <w:p w14:paraId="23DAA695">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5.年产4万吨CO2基塑料及消泡剂项目</w:t>
            </w:r>
          </w:p>
          <w:p w14:paraId="607232C2">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6.吉利硫化物和卤化物固体电解质生产线项目</w:t>
            </w:r>
          </w:p>
          <w:p w14:paraId="7321C6D7">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7.康德化工年产6万吨造纸助剂（二期）扩建项目</w:t>
            </w:r>
          </w:p>
          <w:p w14:paraId="7304B21D">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8.创能新材料二期项目</w:t>
            </w:r>
          </w:p>
          <w:p w14:paraId="3210EFD0">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9.有机废弃物绿色循环利用与生物蛋白生产基地项目</w:t>
            </w:r>
          </w:p>
          <w:p w14:paraId="4A460804">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10.枣庄低空经济中枢中心基地项目</w:t>
            </w:r>
          </w:p>
          <w:p w14:paraId="5AF412DC">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11.枣庄低空经济动力谷二期</w:t>
            </w:r>
          </w:p>
          <w:p w14:paraId="6F9C97EE">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12.</w:t>
            </w:r>
            <w:r>
              <w:rPr>
                <w:rFonts w:hint="eastAsia" w:ascii="Times New Roman" w:hAnsi="Times New Roman" w:cs="Times New Roman"/>
                <w:b w:val="0"/>
                <w:bCs w:val="0"/>
                <w:spacing w:val="0"/>
                <w:kern w:val="21"/>
                <w:sz w:val="28"/>
                <w:szCs w:val="28"/>
                <w:lang w:val="en-US" w:eastAsia="zh-CN"/>
              </w:rPr>
              <w:t>硬核永动航空发动机项目</w:t>
            </w:r>
          </w:p>
          <w:p w14:paraId="3D568AEF">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w:t>
            </w:r>
            <w:r>
              <w:rPr>
                <w:rFonts w:hint="eastAsia" w:ascii="Times New Roman" w:hAnsi="Times New Roman" w:cs="Times New Roman"/>
                <w:b w:val="0"/>
                <w:bCs w:val="0"/>
                <w:spacing w:val="0"/>
                <w:kern w:val="21"/>
                <w:sz w:val="28"/>
                <w:szCs w:val="28"/>
                <w:lang w:val="en-US" w:eastAsia="zh-CN"/>
              </w:rPr>
              <w:t>3</w:t>
            </w:r>
            <w:r>
              <w:rPr>
                <w:rFonts w:hint="default" w:ascii="Times New Roman" w:hAnsi="Times New Roman" w:cs="Times New Roman"/>
                <w:b w:val="0"/>
                <w:bCs w:val="0"/>
                <w:spacing w:val="0"/>
                <w:kern w:val="21"/>
                <w:sz w:val="28"/>
                <w:szCs w:val="28"/>
                <w:lang w:val="en-US" w:eastAsia="zh-CN"/>
              </w:rPr>
              <w:t>.</w:t>
            </w:r>
            <w:r>
              <w:rPr>
                <w:rFonts w:hint="eastAsia" w:ascii="Times New Roman" w:hAnsi="Times New Roman" w:cs="Times New Roman"/>
                <w:b w:val="0"/>
                <w:bCs w:val="0"/>
                <w:spacing w:val="0"/>
                <w:kern w:val="21"/>
                <w:sz w:val="28"/>
                <w:szCs w:val="28"/>
                <w:lang w:val="en-US" w:eastAsia="zh-CN"/>
              </w:rPr>
              <w:t>先舟科技</w:t>
            </w:r>
            <w:r>
              <w:rPr>
                <w:rFonts w:hint="default" w:ascii="Times New Roman" w:hAnsi="Times New Roman" w:cs="Times New Roman"/>
                <w:b w:val="0"/>
                <w:bCs w:val="0"/>
                <w:spacing w:val="0"/>
                <w:kern w:val="21"/>
                <w:sz w:val="28"/>
                <w:szCs w:val="28"/>
                <w:lang w:val="en-US" w:eastAsia="zh-CN"/>
              </w:rPr>
              <w:t>“双-1000”大型固定翼无人机项目</w:t>
            </w:r>
          </w:p>
          <w:p w14:paraId="20FFB721">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w:t>
            </w:r>
            <w:r>
              <w:rPr>
                <w:rFonts w:hint="eastAsia" w:ascii="Times New Roman" w:hAnsi="Times New Roman" w:cs="Times New Roman"/>
                <w:b w:val="0"/>
                <w:bCs w:val="0"/>
                <w:spacing w:val="0"/>
                <w:kern w:val="21"/>
                <w:sz w:val="28"/>
                <w:szCs w:val="28"/>
                <w:lang w:val="en-US" w:eastAsia="zh-CN"/>
              </w:rPr>
              <w:t>4</w:t>
            </w:r>
            <w:r>
              <w:rPr>
                <w:rFonts w:hint="default" w:ascii="Times New Roman" w:hAnsi="Times New Roman" w:cs="Times New Roman"/>
                <w:b w:val="0"/>
                <w:bCs w:val="0"/>
                <w:spacing w:val="0"/>
                <w:kern w:val="21"/>
                <w:sz w:val="28"/>
                <w:szCs w:val="28"/>
                <w:lang w:val="en-US" w:eastAsia="zh-CN"/>
              </w:rPr>
              <w:t>.中科智能高端制造项目</w:t>
            </w:r>
          </w:p>
          <w:p w14:paraId="00EC3699">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eastAsia" w:ascii="Times New Roman" w:hAnsi="Times New Roman" w:cs="Times New Roman"/>
                <w:b w:val="0"/>
                <w:bCs w:val="0"/>
                <w:spacing w:val="0"/>
                <w:kern w:val="21"/>
                <w:sz w:val="28"/>
                <w:szCs w:val="28"/>
                <w:lang w:val="en-US" w:eastAsia="zh-CN"/>
              </w:rPr>
              <w:t>15.</w:t>
            </w:r>
            <w:r>
              <w:rPr>
                <w:rFonts w:hint="default" w:ascii="Times New Roman" w:hAnsi="Times New Roman" w:cs="Times New Roman"/>
                <w:b w:val="0"/>
                <w:bCs w:val="0"/>
                <w:spacing w:val="0"/>
                <w:kern w:val="21"/>
                <w:sz w:val="28"/>
                <w:szCs w:val="28"/>
                <w:lang w:val="en-US" w:eastAsia="zh-CN"/>
              </w:rPr>
              <w:t>理工全盛低空无人系统防御装备生产基地项目</w:t>
            </w:r>
          </w:p>
          <w:p w14:paraId="559961B6">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eastAsia" w:ascii="Times New Roman" w:hAnsi="Times New Roman" w:cs="Times New Roman"/>
                <w:b w:val="0"/>
                <w:bCs w:val="0"/>
                <w:spacing w:val="0"/>
                <w:kern w:val="21"/>
                <w:sz w:val="28"/>
                <w:szCs w:val="28"/>
                <w:lang w:val="en-US" w:eastAsia="zh-CN"/>
              </w:rPr>
              <w:t>16.</w:t>
            </w:r>
            <w:r>
              <w:rPr>
                <w:rFonts w:hint="default" w:ascii="Times New Roman" w:hAnsi="Times New Roman" w:cs="Times New Roman"/>
                <w:b w:val="0"/>
                <w:bCs w:val="0"/>
                <w:spacing w:val="0"/>
                <w:kern w:val="21"/>
                <w:sz w:val="28"/>
                <w:szCs w:val="28"/>
                <w:lang w:val="en-US" w:eastAsia="zh-CN"/>
              </w:rPr>
              <w:t>智能光电系统项目</w:t>
            </w:r>
          </w:p>
          <w:p w14:paraId="11B74FAB">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eastAsia" w:ascii="Times New Roman" w:hAnsi="Times New Roman" w:cs="Times New Roman"/>
                <w:b w:val="0"/>
                <w:bCs w:val="0"/>
                <w:spacing w:val="0"/>
                <w:kern w:val="21"/>
                <w:sz w:val="28"/>
                <w:szCs w:val="28"/>
                <w:lang w:val="en-US" w:eastAsia="zh-CN"/>
              </w:rPr>
              <w:t>17.</w:t>
            </w:r>
            <w:r>
              <w:rPr>
                <w:rFonts w:hint="default" w:ascii="Times New Roman" w:hAnsi="Times New Roman" w:cs="Times New Roman"/>
                <w:b w:val="0"/>
                <w:bCs w:val="0"/>
                <w:spacing w:val="0"/>
                <w:kern w:val="21"/>
                <w:sz w:val="28"/>
                <w:szCs w:val="28"/>
                <w:lang w:val="en-US" w:eastAsia="zh-CN"/>
              </w:rPr>
              <w:t>宇安科技电子系统项目</w:t>
            </w:r>
          </w:p>
          <w:p w14:paraId="51500677">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18.华瑞制冷设备生产一体化项目</w:t>
            </w:r>
          </w:p>
          <w:p w14:paraId="626E73E5">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19.和顺达矿井机器人生产项目</w:t>
            </w:r>
          </w:p>
          <w:p w14:paraId="3E9C1EC3">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20.中金高脉冲钢丝编织（缠绕）胶管智能化生产线项目</w:t>
            </w:r>
          </w:p>
          <w:p w14:paraId="505884F5">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21.西格斯计量棒、刮刀项目</w:t>
            </w:r>
          </w:p>
          <w:p w14:paraId="39355EE5">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highlight w:val="none"/>
                <w:lang w:val="en-US" w:eastAsia="zh-CN"/>
              </w:rPr>
            </w:pPr>
            <w:r>
              <w:rPr>
                <w:rFonts w:hint="default" w:ascii="Times New Roman" w:hAnsi="Times New Roman" w:cs="Times New Roman"/>
                <w:b w:val="0"/>
                <w:bCs w:val="0"/>
                <w:spacing w:val="0"/>
                <w:kern w:val="21"/>
                <w:sz w:val="28"/>
                <w:szCs w:val="28"/>
                <w:highlight w:val="none"/>
                <w:lang w:val="en-US" w:eastAsia="zh-CN"/>
              </w:rPr>
              <w:t>22.正容电子磁性电子元器件生产制造项目</w:t>
            </w:r>
          </w:p>
          <w:p w14:paraId="10C4E990">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23.国刃高端精密工具智能制造项目</w:t>
            </w:r>
          </w:p>
          <w:p w14:paraId="5E7E967F">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24.远通纸业造纸生产线节能降碳技术改造项目</w:t>
            </w:r>
          </w:p>
          <w:p w14:paraId="0A1E8A99">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25.联兴股份绿透超轻包材生产线升级改造项目</w:t>
            </w:r>
          </w:p>
          <w:p w14:paraId="18E9D73A">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26.夫宇绿色食品产业园配套项目</w:t>
            </w:r>
          </w:p>
          <w:p w14:paraId="78D6A926">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27.银牛面业第四期高档挂面线项目</w:t>
            </w:r>
          </w:p>
          <w:p w14:paraId="283D1A27">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28.高端NFC石榴汁及乳制品等生产线技术升级改造项目</w:t>
            </w:r>
          </w:p>
          <w:p w14:paraId="25FEA1C6">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29.鑫嘉源年产10万吨食品添加剂项目</w:t>
            </w:r>
          </w:p>
          <w:p w14:paraId="3ED7DC5A">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eastAsia" w:ascii="Times New Roman" w:hAnsi="Times New Roman" w:cs="Times New Roman"/>
                <w:b w:val="0"/>
                <w:bCs w:val="0"/>
                <w:spacing w:val="0"/>
                <w:kern w:val="21"/>
                <w:sz w:val="28"/>
                <w:szCs w:val="28"/>
                <w:lang w:val="en-US" w:eastAsia="zh-CN"/>
              </w:rPr>
              <w:t>30.</w:t>
            </w:r>
            <w:r>
              <w:rPr>
                <w:rFonts w:hint="default" w:ascii="Times New Roman" w:hAnsi="Times New Roman" w:cs="Times New Roman"/>
                <w:b w:val="0"/>
                <w:bCs w:val="0"/>
                <w:spacing w:val="0"/>
                <w:kern w:val="21"/>
                <w:sz w:val="28"/>
                <w:szCs w:val="28"/>
                <w:lang w:val="en-US" w:eastAsia="zh-CN"/>
              </w:rPr>
              <w:t>枣庄市高品质包装饮用水产业园项目</w:t>
            </w:r>
          </w:p>
          <w:p w14:paraId="5FC05631">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3</w:t>
            </w:r>
            <w:r>
              <w:rPr>
                <w:rFonts w:hint="eastAsia" w:ascii="Times New Roman" w:hAnsi="Times New Roman" w:cs="Times New Roman"/>
                <w:b w:val="0"/>
                <w:bCs w:val="0"/>
                <w:spacing w:val="0"/>
                <w:kern w:val="21"/>
                <w:sz w:val="28"/>
                <w:szCs w:val="28"/>
                <w:lang w:val="en-US" w:eastAsia="zh-CN"/>
              </w:rPr>
              <w:t>1</w:t>
            </w:r>
            <w:r>
              <w:rPr>
                <w:rFonts w:hint="default" w:ascii="Times New Roman" w:hAnsi="Times New Roman" w:cs="Times New Roman"/>
                <w:b w:val="0"/>
                <w:bCs w:val="0"/>
                <w:spacing w:val="0"/>
                <w:kern w:val="21"/>
                <w:sz w:val="28"/>
                <w:szCs w:val="28"/>
                <w:lang w:val="en-US" w:eastAsia="zh-CN"/>
              </w:rPr>
              <w:t>.京东（枣庄）智慧物流园二期</w:t>
            </w:r>
          </w:p>
          <w:p w14:paraId="127D9460">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3</w:t>
            </w:r>
            <w:r>
              <w:rPr>
                <w:rFonts w:hint="eastAsia" w:ascii="Times New Roman" w:hAnsi="Times New Roman" w:cs="Times New Roman"/>
                <w:b w:val="0"/>
                <w:bCs w:val="0"/>
                <w:spacing w:val="0"/>
                <w:kern w:val="21"/>
                <w:sz w:val="28"/>
                <w:szCs w:val="28"/>
                <w:lang w:val="en-US" w:eastAsia="zh-CN"/>
              </w:rPr>
              <w:t>2</w:t>
            </w:r>
            <w:r>
              <w:rPr>
                <w:rFonts w:hint="default" w:ascii="Times New Roman" w:hAnsi="Times New Roman" w:cs="Times New Roman"/>
                <w:b w:val="0"/>
                <w:bCs w:val="0"/>
                <w:spacing w:val="0"/>
                <w:kern w:val="21"/>
                <w:sz w:val="28"/>
                <w:szCs w:val="28"/>
                <w:lang w:val="en-US" w:eastAsia="zh-CN"/>
              </w:rPr>
              <w:t>.鲁南智能冷链物流产业园项目</w:t>
            </w:r>
          </w:p>
          <w:p w14:paraId="67DB3F0B">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3</w:t>
            </w:r>
            <w:r>
              <w:rPr>
                <w:rFonts w:hint="eastAsia" w:ascii="Times New Roman" w:hAnsi="Times New Roman" w:cs="Times New Roman"/>
                <w:b w:val="0"/>
                <w:bCs w:val="0"/>
                <w:spacing w:val="0"/>
                <w:kern w:val="21"/>
                <w:sz w:val="28"/>
                <w:szCs w:val="28"/>
                <w:lang w:val="en-US" w:eastAsia="zh-CN"/>
              </w:rPr>
              <w:t>3</w:t>
            </w:r>
            <w:r>
              <w:rPr>
                <w:rFonts w:hint="default" w:ascii="Times New Roman" w:hAnsi="Times New Roman" w:cs="Times New Roman"/>
                <w:b w:val="0"/>
                <w:bCs w:val="0"/>
                <w:spacing w:val="0"/>
                <w:kern w:val="21"/>
                <w:sz w:val="28"/>
                <w:szCs w:val="28"/>
                <w:lang w:val="en-US" w:eastAsia="zh-CN"/>
              </w:rPr>
              <w:t>.弘祥冷链智慧物流园项目</w:t>
            </w:r>
          </w:p>
          <w:p w14:paraId="0DA67E06">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eastAsia" w:ascii="Times New Roman" w:hAnsi="Times New Roman" w:cs="Times New Roman"/>
                <w:b w:val="0"/>
                <w:bCs w:val="0"/>
                <w:spacing w:val="0"/>
                <w:kern w:val="21"/>
                <w:sz w:val="28"/>
                <w:szCs w:val="28"/>
                <w:lang w:val="en-US" w:eastAsia="zh-CN"/>
              </w:rPr>
              <w:t>34.</w:t>
            </w:r>
            <w:r>
              <w:rPr>
                <w:rFonts w:hint="default" w:ascii="Times New Roman" w:hAnsi="Times New Roman" w:cs="Times New Roman"/>
                <w:b w:val="0"/>
                <w:bCs w:val="0"/>
                <w:spacing w:val="0"/>
                <w:kern w:val="21"/>
                <w:sz w:val="28"/>
                <w:szCs w:val="28"/>
                <w:lang w:val="en-US" w:eastAsia="zh-CN"/>
              </w:rPr>
              <w:t>申创能源27项润滑油相关专利产业化项目</w:t>
            </w:r>
          </w:p>
          <w:p w14:paraId="6FFB6CE6">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70" w:lineRule="exact"/>
              <w:ind w:leftChars="0" w:right="0" w:rightChars="0" w:firstLine="560" w:firstLineChars="200"/>
              <w:jc w:val="both"/>
              <w:textAlignment w:val="auto"/>
              <w:rPr>
                <w:rFonts w:hint="default"/>
                <w:lang w:val="en-US" w:eastAsia="zh-CN"/>
              </w:rPr>
            </w:pPr>
            <w:r>
              <w:rPr>
                <w:rFonts w:hint="eastAsia" w:ascii="Times New Roman" w:hAnsi="Times New Roman" w:cs="Times New Roman"/>
                <w:b w:val="0"/>
                <w:bCs w:val="0"/>
                <w:spacing w:val="0"/>
                <w:kern w:val="21"/>
                <w:sz w:val="28"/>
                <w:szCs w:val="28"/>
                <w:lang w:val="en-US" w:eastAsia="zh-CN"/>
              </w:rPr>
              <w:t>35.</w:t>
            </w:r>
            <w:r>
              <w:rPr>
                <w:rFonts w:hint="default" w:ascii="Times New Roman" w:hAnsi="Times New Roman" w:cs="Times New Roman"/>
                <w:b w:val="0"/>
                <w:bCs w:val="0"/>
                <w:spacing w:val="0"/>
                <w:kern w:val="21"/>
                <w:sz w:val="28"/>
                <w:szCs w:val="28"/>
                <w:lang w:val="en-US" w:eastAsia="zh-CN"/>
              </w:rPr>
              <w:t>山东友邦玻璃年产200万方门窗玻璃项目</w:t>
            </w:r>
          </w:p>
        </w:tc>
      </w:tr>
    </w:tbl>
    <w:p w14:paraId="661F2430">
      <w:pPr>
        <w:keepNext w:val="0"/>
        <w:keepLines w:val="0"/>
        <w:pageBreakBefore w:val="0"/>
        <w:widowControl w:val="0"/>
        <w:kinsoku/>
        <w:wordWrap/>
        <w:overflowPunct/>
        <w:topLinePunct w:val="0"/>
        <w:autoSpaceDE/>
        <w:autoSpaceDN/>
        <w:bidi w:val="0"/>
        <w:adjustRightInd w:val="0"/>
        <w:snapToGrid w:val="0"/>
        <w:spacing w:before="313" w:beforeLines="100" w:beforeAutospacing="0" w:after="313" w:afterLines="100" w:afterAutospacing="0" w:line="580" w:lineRule="exact"/>
        <w:ind w:firstLine="0" w:firstLineChars="0"/>
        <w:jc w:val="center"/>
        <w:textAlignment w:val="auto"/>
        <w:outlineLvl w:val="0"/>
        <w:rPr>
          <w:rFonts w:hint="eastAsia" w:ascii="黑体" w:hAnsi="黑体" w:eastAsia="黑体" w:cs="黑体"/>
          <w:b w:val="0"/>
          <w:bCs/>
          <w:kern w:val="21"/>
          <w:sz w:val="32"/>
          <w:szCs w:val="32"/>
          <w:lang w:val="en-US" w:eastAsia="zh-CN"/>
        </w:rPr>
      </w:pPr>
      <w:bookmarkStart w:id="24" w:name="_Toc1734799809"/>
      <w:r>
        <w:rPr>
          <w:rFonts w:hint="eastAsia" w:ascii="黑体" w:hAnsi="黑体" w:eastAsia="黑体" w:cs="黑体"/>
          <w:b w:val="0"/>
          <w:bCs/>
          <w:kern w:val="21"/>
          <w:sz w:val="32"/>
          <w:szCs w:val="32"/>
          <w:lang w:val="en-US" w:eastAsia="zh-CN"/>
        </w:rPr>
        <w:t>第四章  提升城市品质能级，建设宜居宜业市驻地</w:t>
      </w:r>
      <w:bookmarkEnd w:id="24"/>
    </w:p>
    <w:p w14:paraId="01E3DB30">
      <w:pPr>
        <w:keepNext w:val="0"/>
        <w:keepLines w:val="0"/>
        <w:pageBreakBefore w:val="0"/>
        <w:widowControl w:val="0"/>
        <w:kinsoku/>
        <w:wordWrap/>
        <w:overflowPunct/>
        <w:topLinePunct w:val="0"/>
        <w:autoSpaceDE/>
        <w:autoSpaceDN/>
        <w:bidi w:val="0"/>
        <w:adjustRightInd/>
        <w:snapToGrid/>
        <w:spacing w:before="313" w:beforeLines="100" w:line="580"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以服务建设现代化市驻地为核心，围绕“打造首善之区 建设品质薛城”</w:t>
      </w:r>
      <w:r>
        <w:rPr>
          <w:rFonts w:hint="eastAsia" w:ascii="Times New Roman" w:hAnsi="Times New Roman" w:cs="Times New Roman"/>
          <w:color w:val="auto"/>
          <w:lang w:val="en-US" w:eastAsia="zh-CN"/>
        </w:rPr>
        <w:t>总体定位</w:t>
      </w:r>
      <w:r>
        <w:rPr>
          <w:rFonts w:hint="default" w:ascii="Times New Roman" w:hAnsi="Times New Roman" w:cs="Times New Roman"/>
          <w:color w:val="auto"/>
          <w:lang w:val="en-US" w:eastAsia="zh-CN"/>
        </w:rPr>
        <w:t>，全面落实“</w:t>
      </w:r>
      <w:r>
        <w:rPr>
          <w:rFonts w:hint="default" w:ascii="Times New Roman" w:hAnsi="Times New Roman" w:eastAsia="仿宋_GB2312" w:cs="Times New Roman"/>
          <w:color w:val="auto"/>
          <w:sz w:val="32"/>
          <w:szCs w:val="32"/>
          <w:highlight w:val="none"/>
          <w:u w:val="none" w:color="auto"/>
          <w:shd w:val="clear" w:color="auto" w:fill="auto"/>
        </w:rPr>
        <w:t>东拓、西连、南美、北控、中优”</w:t>
      </w:r>
      <w:r>
        <w:rPr>
          <w:rFonts w:hint="default" w:ascii="Times New Roman" w:hAnsi="Times New Roman" w:cs="Times New Roman"/>
          <w:color w:val="auto"/>
          <w:sz w:val="32"/>
          <w:szCs w:val="32"/>
          <w:highlight w:val="none"/>
          <w:u w:val="none" w:color="auto"/>
          <w:shd w:val="clear" w:color="auto" w:fill="auto"/>
          <w:lang w:val="en-US" w:eastAsia="zh-CN"/>
        </w:rPr>
        <w:t>发展格局，优化城镇空间布局，推动城市有机更新，全力打造高品质城市核心区</w:t>
      </w:r>
      <w:r>
        <w:rPr>
          <w:rFonts w:hint="default" w:ascii="Times New Roman" w:hAnsi="Times New Roman" w:cs="Times New Roman"/>
          <w:color w:val="auto"/>
          <w:lang w:val="en-US" w:eastAsia="zh-CN"/>
        </w:rPr>
        <w:t>。</w:t>
      </w:r>
    </w:p>
    <w:p w14:paraId="72837754">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25" w:name="_Toc297985186"/>
      <w:r>
        <w:rPr>
          <w:rFonts w:hint="eastAsia" w:ascii="楷体_GB2312" w:hAnsi="楷体_GB2312" w:eastAsia="楷体_GB2312" w:cs="楷体_GB2312"/>
          <w:kern w:val="21"/>
          <w:sz w:val="32"/>
          <w:szCs w:val="32"/>
          <w:highlight w:val="none"/>
          <w:lang w:val="en-US" w:eastAsia="zh-CN"/>
        </w:rPr>
        <w:t>第一节  优化城市空间功能布局</w:t>
      </w:r>
      <w:bookmarkEnd w:id="25"/>
    </w:p>
    <w:p w14:paraId="383E910F">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highlight w:val="yellow"/>
          <w:lang w:eastAsia="zh-CN"/>
        </w:rPr>
      </w:pPr>
      <w:r>
        <w:rPr>
          <w:rFonts w:hint="default" w:ascii="Times New Roman" w:hAnsi="Times New Roman" w:cs="Times New Roman"/>
          <w:lang w:eastAsia="zh-CN"/>
        </w:rPr>
        <w:t>以空间布局优化、区域协同赋能为重点，因地制宜、系统推进六大片区</w:t>
      </w:r>
      <w:r>
        <w:rPr>
          <w:rFonts w:hint="default" w:ascii="Times New Roman" w:hAnsi="Times New Roman" w:cs="Times New Roman"/>
          <w:lang w:val="en-US" w:eastAsia="zh-CN"/>
        </w:rPr>
        <w:t>协同发展</w:t>
      </w:r>
      <w:r>
        <w:rPr>
          <w:rFonts w:hint="default" w:ascii="Times New Roman" w:hAnsi="Times New Roman" w:cs="Times New Roman"/>
          <w:lang w:eastAsia="zh-CN"/>
        </w:rPr>
        <w:t>。</w:t>
      </w:r>
      <w:r>
        <w:rPr>
          <w:rFonts w:hint="default" w:ascii="Times New Roman" w:hAnsi="Times New Roman" w:cs="Times New Roman"/>
          <w:b/>
          <w:bCs/>
          <w:highlight w:val="none"/>
          <w:lang w:eastAsia="zh-CN"/>
        </w:rPr>
        <w:t>做靓</w:t>
      </w:r>
      <w:r>
        <w:rPr>
          <w:rFonts w:hint="eastAsia" w:ascii="Times New Roman" w:hAnsi="Times New Roman" w:cs="Times New Roman"/>
          <w:b/>
          <w:bCs/>
          <w:highlight w:val="none"/>
          <w:lang w:val="en-US" w:eastAsia="zh-CN"/>
        </w:rPr>
        <w:t>“</w:t>
      </w:r>
      <w:r>
        <w:rPr>
          <w:rFonts w:hint="default" w:ascii="Times New Roman" w:hAnsi="Times New Roman" w:cs="Times New Roman"/>
          <w:b/>
          <w:bCs/>
          <w:highlight w:val="none"/>
          <w:lang w:val="en-US" w:eastAsia="zh-CN"/>
        </w:rPr>
        <w:t>新城</w:t>
      </w:r>
      <w:r>
        <w:rPr>
          <w:rFonts w:hint="eastAsia" w:ascii="Times New Roman" w:hAnsi="Times New Roman" w:cs="Times New Roman"/>
          <w:b/>
          <w:bCs/>
          <w:highlight w:val="none"/>
          <w:lang w:val="en-US" w:eastAsia="zh-CN"/>
        </w:rPr>
        <w:t>”</w:t>
      </w:r>
      <w:r>
        <w:rPr>
          <w:rFonts w:hint="default" w:ascii="Times New Roman" w:hAnsi="Times New Roman" w:cs="Times New Roman"/>
          <w:b/>
          <w:bCs/>
          <w:highlight w:val="none"/>
          <w:lang w:eastAsia="zh-CN"/>
        </w:rPr>
        <w:t>。</w:t>
      </w:r>
      <w:r>
        <w:rPr>
          <w:rFonts w:hint="default" w:ascii="Times New Roman" w:hAnsi="Times New Roman" w:eastAsia="仿宋_GB2312" w:cs="Times New Roman"/>
          <w:color w:val="auto"/>
          <w:sz w:val="32"/>
          <w:szCs w:val="32"/>
          <w:highlight w:val="none"/>
          <w:lang w:val="en-US" w:eastAsia="zh-CN"/>
        </w:rPr>
        <w:t>全力服务保障市级“西连”“中优”片区重点项目落地，完善高端商务、公共服务等功能配套，提升新城形象品质。</w:t>
      </w:r>
      <w:r>
        <w:rPr>
          <w:rFonts w:hint="default" w:ascii="Times New Roman" w:hAnsi="Times New Roman" w:cs="Times New Roman"/>
          <w:b/>
          <w:bCs/>
          <w:lang w:val="en-US" w:eastAsia="zh-CN"/>
        </w:rPr>
        <w:t>焕新“老城”</w:t>
      </w:r>
      <w:r>
        <w:rPr>
          <w:rFonts w:hint="default" w:ascii="Times New Roman" w:hAnsi="Times New Roman" w:cs="Times New Roman"/>
          <w:b/>
          <w:bCs/>
          <w:lang w:eastAsia="zh-CN"/>
        </w:rPr>
        <w:t>。</w:t>
      </w:r>
      <w:r>
        <w:rPr>
          <w:rFonts w:hint="default" w:ascii="Times New Roman" w:hAnsi="Times New Roman" w:cs="Times New Roman"/>
          <w:lang w:eastAsia="zh-CN"/>
        </w:rPr>
        <w:t>加快基础设施更新、功能业态拓展和生活场景丰富，</w:t>
      </w:r>
      <w:r>
        <w:rPr>
          <w:rFonts w:hint="default" w:ascii="Times New Roman" w:hAnsi="Times New Roman" w:eastAsia="仿宋_GB2312" w:cs="Times New Roman"/>
          <w:color w:val="auto"/>
          <w:sz w:val="32"/>
          <w:szCs w:val="32"/>
          <w:highlight w:val="none"/>
          <w:lang w:val="en-US" w:eastAsia="zh-CN"/>
        </w:rPr>
        <w:t>对部分老旧街区、居住区适时启动“微改造”，推动旧貌换新颜</w:t>
      </w:r>
      <w:r>
        <w:rPr>
          <w:rFonts w:hint="default" w:ascii="Times New Roman" w:hAnsi="Times New Roman" w:cs="Times New Roman"/>
          <w:color w:val="auto"/>
          <w:sz w:val="32"/>
          <w:szCs w:val="32"/>
          <w:highlight w:val="none"/>
          <w:lang w:val="en-US" w:eastAsia="zh-CN"/>
        </w:rPr>
        <w:t>，更好发挥汇人气、聚商气的作用。</w:t>
      </w:r>
      <w:r>
        <w:rPr>
          <w:rFonts w:hint="default" w:ascii="Times New Roman" w:hAnsi="Times New Roman" w:cs="Times New Roman"/>
          <w:b/>
          <w:bCs/>
          <w:lang w:eastAsia="zh-CN"/>
        </w:rPr>
        <w:t>做活“</w:t>
      </w:r>
      <w:r>
        <w:rPr>
          <w:rFonts w:hint="default" w:ascii="Times New Roman" w:hAnsi="Times New Roman" w:cs="Times New Roman"/>
          <w:b/>
          <w:bCs/>
          <w:lang w:val="en-US" w:eastAsia="zh-CN"/>
        </w:rPr>
        <w:t>城南</w:t>
      </w:r>
      <w:r>
        <w:rPr>
          <w:rFonts w:hint="default" w:ascii="Times New Roman" w:hAnsi="Times New Roman" w:cs="Times New Roman"/>
          <w:b/>
          <w:bCs/>
          <w:lang w:eastAsia="zh-CN"/>
        </w:rPr>
        <w:t>”。</w:t>
      </w:r>
      <w:r>
        <w:rPr>
          <w:rFonts w:hint="default" w:ascii="Times New Roman" w:hAnsi="Times New Roman" w:cs="Times New Roman"/>
          <w:lang w:eastAsia="zh-CN"/>
        </w:rPr>
        <w:t>坚持内涵发展、有序外延，提升现有区域商业能级，</w:t>
      </w:r>
      <w:r>
        <w:rPr>
          <w:rFonts w:hint="default" w:ascii="Times New Roman" w:hAnsi="Times New Roman" w:cs="Times New Roman"/>
          <w:lang w:val="en-US" w:eastAsia="zh-CN"/>
        </w:rPr>
        <w:t>规划</w:t>
      </w:r>
      <w:r>
        <w:rPr>
          <w:rFonts w:hint="default" w:ascii="Times New Roman" w:hAnsi="Times New Roman" w:cs="Times New Roman"/>
          <w:lang w:eastAsia="zh-CN"/>
        </w:rPr>
        <w:t>建设一批高品质住宅和公共服务项目，</w:t>
      </w:r>
      <w:r>
        <w:rPr>
          <w:rFonts w:hint="default" w:ascii="Times New Roman" w:hAnsi="Times New Roman" w:cs="Times New Roman"/>
          <w:lang w:val="en-US" w:eastAsia="zh-CN"/>
        </w:rPr>
        <w:t>加快</w:t>
      </w:r>
      <w:r>
        <w:rPr>
          <w:rFonts w:hint="default" w:ascii="Times New Roman" w:hAnsi="Times New Roman" w:eastAsia="仿宋_GB2312" w:cs="Times New Roman"/>
          <w:b w:val="0"/>
          <w:bCs w:val="0"/>
          <w:color w:val="auto"/>
          <w:spacing w:val="0"/>
          <w:sz w:val="32"/>
          <w:szCs w:val="32"/>
          <w:highlight w:val="none"/>
          <w:lang w:val="en-US" w:eastAsia="zh-CN"/>
        </w:rPr>
        <w:t>科教创新示范区建设，高标准规划设计凤翔湖片区，激发城南活力。</w:t>
      </w:r>
      <w:r>
        <w:rPr>
          <w:rFonts w:hint="default" w:ascii="Times New Roman" w:hAnsi="Times New Roman" w:eastAsia="仿宋_GB2312" w:cs="Times New Roman"/>
          <w:b/>
          <w:bCs/>
          <w:kern w:val="2"/>
          <w:sz w:val="32"/>
          <w:szCs w:val="32"/>
        </w:rPr>
        <w:t>发力</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_GB2312" w:cs="Times New Roman"/>
          <w:b/>
          <w:bCs/>
          <w:kern w:val="2"/>
          <w:sz w:val="32"/>
          <w:szCs w:val="32"/>
        </w:rPr>
        <w:t>铁西</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cs="Times New Roman"/>
          <w:b/>
          <w:bCs/>
          <w:highlight w:val="none"/>
          <w:lang w:eastAsia="zh-CN"/>
        </w:rPr>
        <w:t>。</w:t>
      </w:r>
      <w:r>
        <w:rPr>
          <w:rFonts w:hint="default" w:ascii="Times New Roman" w:hAnsi="Times New Roman" w:cs="Times New Roman"/>
          <w:b w:val="0"/>
          <w:bCs w:val="0"/>
          <w:color w:val="auto"/>
          <w:spacing w:val="0"/>
          <w:sz w:val="32"/>
          <w:szCs w:val="32"/>
          <w:highlight w:val="none"/>
          <w:lang w:val="en-US" w:eastAsia="zh-CN"/>
        </w:rPr>
        <w:t>完成</w:t>
      </w:r>
      <w:r>
        <w:rPr>
          <w:rFonts w:hint="default" w:ascii="Times New Roman" w:hAnsi="Times New Roman" w:eastAsia="仿宋_GB2312" w:cs="Times New Roman"/>
          <w:b w:val="0"/>
          <w:bCs w:val="0"/>
          <w:color w:val="auto"/>
          <w:spacing w:val="0"/>
          <w:sz w:val="32"/>
          <w:szCs w:val="32"/>
          <w:highlight w:val="none"/>
          <w:lang w:val="en-US" w:eastAsia="zh-CN"/>
        </w:rPr>
        <w:t>市中医医院西院区、长江路上跨</w:t>
      </w:r>
      <w:r>
        <w:rPr>
          <w:rFonts w:hint="default" w:ascii="Times New Roman" w:hAnsi="Times New Roman" w:cs="Times New Roman"/>
          <w:b w:val="0"/>
          <w:bCs w:val="0"/>
          <w:color w:val="auto"/>
          <w:spacing w:val="0"/>
          <w:sz w:val="32"/>
          <w:szCs w:val="32"/>
          <w:highlight w:val="none"/>
          <w:lang w:val="en-US" w:eastAsia="zh-CN"/>
        </w:rPr>
        <w:t>立交</w:t>
      </w:r>
      <w:r>
        <w:rPr>
          <w:rFonts w:hint="default" w:ascii="Times New Roman" w:hAnsi="Times New Roman" w:eastAsia="仿宋_GB2312" w:cs="Times New Roman"/>
          <w:b w:val="0"/>
          <w:bCs w:val="0"/>
          <w:color w:val="auto"/>
          <w:spacing w:val="0"/>
          <w:sz w:val="32"/>
          <w:szCs w:val="32"/>
          <w:highlight w:val="none"/>
          <w:lang w:val="en-US" w:eastAsia="zh-CN"/>
        </w:rPr>
        <w:t>桥</w:t>
      </w:r>
      <w:r>
        <w:rPr>
          <w:rFonts w:hint="default" w:ascii="Times New Roman" w:hAnsi="Times New Roman" w:cs="Times New Roman"/>
          <w:b w:val="0"/>
          <w:bCs w:val="0"/>
          <w:color w:val="auto"/>
          <w:spacing w:val="0"/>
          <w:sz w:val="32"/>
          <w:szCs w:val="32"/>
          <w:highlight w:val="none"/>
          <w:lang w:val="en-US" w:eastAsia="zh-CN"/>
        </w:rPr>
        <w:t>建设，</w:t>
      </w:r>
      <w:r>
        <w:rPr>
          <w:rFonts w:hint="default" w:ascii="Times New Roman" w:hAnsi="Times New Roman" w:eastAsia="仿宋_GB2312" w:cs="Times New Roman"/>
          <w:spacing w:val="0"/>
          <w:kern w:val="2"/>
          <w:sz w:val="32"/>
          <w:szCs w:val="32"/>
          <w:highlight w:val="none"/>
        </w:rPr>
        <w:t>盘活“</w:t>
      </w:r>
      <w:r>
        <w:rPr>
          <w:rFonts w:hint="default" w:ascii="Times New Roman" w:hAnsi="Times New Roman" w:eastAsia="仿宋_GB2312" w:cs="Times New Roman"/>
          <w:spacing w:val="0"/>
          <w:kern w:val="2"/>
          <w:sz w:val="32"/>
          <w:szCs w:val="32"/>
          <w:highlight w:val="none"/>
          <w:lang w:val="en-US" w:eastAsia="zh-CN"/>
        </w:rPr>
        <w:t>薛</w:t>
      </w:r>
      <w:r>
        <w:rPr>
          <w:rFonts w:hint="default" w:ascii="Times New Roman" w:hAnsi="Times New Roman" w:eastAsia="仿宋_GB2312" w:cs="Times New Roman"/>
          <w:spacing w:val="0"/>
          <w:kern w:val="2"/>
          <w:sz w:val="32"/>
          <w:szCs w:val="32"/>
          <w:highlight w:val="none"/>
        </w:rPr>
        <w:t>焦老厂区</w:t>
      </w:r>
      <w:r>
        <w:rPr>
          <w:rFonts w:hint="default" w:ascii="Times New Roman" w:hAnsi="Times New Roman" w:eastAsia="仿宋_GB2312" w:cs="Times New Roman"/>
          <w:b w:val="0"/>
          <w:color w:val="auto"/>
          <w:spacing w:val="0"/>
          <w:kern w:val="2"/>
          <w:sz w:val="32"/>
          <w:szCs w:val="32"/>
          <w:highlight w:val="none"/>
          <w:lang w:val="en-US" w:eastAsia="zh-CN" w:bidi="ar-SA"/>
        </w:rPr>
        <w:t>”及周边存量土地</w:t>
      </w:r>
      <w:r>
        <w:rPr>
          <w:rFonts w:hint="default" w:ascii="Times New Roman" w:hAnsi="Times New Roman" w:eastAsia="仿宋_GB2312" w:cs="Times New Roman"/>
          <w:b w:val="0"/>
          <w:bCs w:val="0"/>
          <w:color w:val="auto"/>
          <w:spacing w:val="0"/>
          <w:sz w:val="32"/>
          <w:szCs w:val="32"/>
          <w:highlight w:val="none"/>
          <w:lang w:val="en-US" w:eastAsia="zh-CN"/>
        </w:rPr>
        <w:t>，</w:t>
      </w:r>
      <w:r>
        <w:rPr>
          <w:rFonts w:hint="default" w:ascii="Times New Roman" w:hAnsi="Times New Roman" w:cs="Times New Roman"/>
          <w:b w:val="0"/>
          <w:bCs w:val="0"/>
          <w:color w:val="auto"/>
          <w:spacing w:val="0"/>
          <w:sz w:val="32"/>
          <w:szCs w:val="32"/>
          <w:highlight w:val="none"/>
          <w:lang w:val="en-US" w:eastAsia="zh-CN"/>
        </w:rPr>
        <w:t>完善道路、供排水、供暖等基础设施，配套商业设施，</w:t>
      </w:r>
      <w:r>
        <w:rPr>
          <w:rFonts w:hint="default" w:ascii="Times New Roman" w:hAnsi="Times New Roman" w:eastAsia="仿宋_GB2312" w:cs="Times New Roman"/>
          <w:kern w:val="2"/>
          <w:sz w:val="32"/>
          <w:szCs w:val="32"/>
        </w:rPr>
        <w:t>谋划</w:t>
      </w:r>
      <w:r>
        <w:rPr>
          <w:rFonts w:hint="default" w:ascii="Times New Roman" w:hAnsi="Times New Roman" w:cs="Times New Roman"/>
          <w:kern w:val="2"/>
          <w:sz w:val="32"/>
          <w:szCs w:val="32"/>
          <w:lang w:val="en-US" w:eastAsia="zh-CN"/>
        </w:rPr>
        <w:t>实施</w:t>
      </w:r>
      <w:r>
        <w:rPr>
          <w:rFonts w:hint="default" w:ascii="Times New Roman" w:hAnsi="Times New Roman" w:eastAsia="仿宋_GB2312" w:cs="Times New Roman"/>
          <w:kern w:val="2"/>
          <w:sz w:val="32"/>
          <w:szCs w:val="32"/>
        </w:rPr>
        <w:t>一批重大产业项目</w:t>
      </w:r>
      <w:r>
        <w:rPr>
          <w:rFonts w:hint="default" w:ascii="Times New Roman" w:hAnsi="Times New Roman" w:eastAsia="仿宋_GB2312" w:cs="Times New Roman"/>
          <w:b w:val="0"/>
          <w:bCs w:val="0"/>
          <w:color w:val="auto"/>
          <w:spacing w:val="0"/>
          <w:sz w:val="32"/>
          <w:szCs w:val="32"/>
          <w:highlight w:val="none"/>
          <w:lang w:val="en-US" w:eastAsia="zh-CN"/>
        </w:rPr>
        <w:t>。</w:t>
      </w:r>
      <w:r>
        <w:rPr>
          <w:rFonts w:hint="eastAsia" w:ascii="Times New Roman" w:hAnsi="Times New Roman" w:cs="Times New Roman"/>
          <w:b/>
          <w:bCs/>
          <w:lang w:val="en-US" w:eastAsia="zh-CN"/>
        </w:rPr>
        <w:t>涵养</w:t>
      </w:r>
      <w:r>
        <w:rPr>
          <w:rFonts w:hint="default" w:ascii="Times New Roman" w:hAnsi="Times New Roman" w:cs="Times New Roman"/>
          <w:b/>
          <w:bCs/>
          <w:lang w:val="en-US" w:eastAsia="zh-CN"/>
        </w:rPr>
        <w:t>“北部”</w:t>
      </w:r>
      <w:r>
        <w:rPr>
          <w:rFonts w:hint="default" w:ascii="Times New Roman" w:hAnsi="Times New Roman" w:cs="Times New Roman"/>
          <w:b/>
          <w:bCs/>
          <w:lang w:eastAsia="zh-CN"/>
        </w:rPr>
        <w:t>。</w:t>
      </w:r>
      <w:r>
        <w:rPr>
          <w:rFonts w:hint="default" w:ascii="Times New Roman" w:hAnsi="Times New Roman" w:cs="Times New Roman"/>
        </w:rPr>
        <w:t>坚持“生态优先、绿色发展”原则，控制性开发蟠龙河沿线区域，做好生态保护与经济转换文章</w:t>
      </w:r>
      <w:r>
        <w:rPr>
          <w:rFonts w:hint="default" w:ascii="Times New Roman" w:hAnsi="Times New Roman" w:cs="Times New Roman"/>
          <w:lang w:eastAsia="zh-CN"/>
        </w:rPr>
        <w:t>。</w:t>
      </w:r>
      <w:r>
        <w:rPr>
          <w:rFonts w:hint="default" w:ascii="Times New Roman" w:hAnsi="Times New Roman" w:cs="Times New Roman"/>
          <w:b/>
          <w:bCs/>
          <w:lang w:val="en-US" w:eastAsia="zh-CN"/>
        </w:rPr>
        <w:t>提升“</w:t>
      </w:r>
      <w:r>
        <w:rPr>
          <w:rFonts w:hint="eastAsia" w:ascii="Times New Roman" w:hAnsi="Times New Roman" w:cs="Times New Roman"/>
          <w:b/>
          <w:bCs/>
          <w:lang w:val="en-US" w:eastAsia="zh-CN"/>
        </w:rPr>
        <w:t>开发区</w:t>
      </w:r>
      <w:r>
        <w:rPr>
          <w:rFonts w:hint="default" w:ascii="Times New Roman" w:hAnsi="Times New Roman" w:cs="Times New Roman"/>
          <w:b/>
          <w:bCs/>
          <w:lang w:val="en-US" w:eastAsia="zh-CN"/>
        </w:rPr>
        <w:t>”</w:t>
      </w:r>
      <w:r>
        <w:rPr>
          <w:rFonts w:hint="default" w:ascii="Times New Roman" w:hAnsi="Times New Roman" w:cs="Times New Roman"/>
          <w:b/>
          <w:bCs/>
          <w:lang w:eastAsia="zh-CN"/>
        </w:rPr>
        <w:t>。</w:t>
      </w:r>
      <w:r>
        <w:rPr>
          <w:rFonts w:hint="default" w:ascii="Times New Roman" w:hAnsi="Times New Roman" w:cs="Times New Roman"/>
          <w:lang w:eastAsia="zh-CN"/>
        </w:rPr>
        <w:t>坚持“以产促城、以城兴产、产城融合”，</w:t>
      </w:r>
      <w:r>
        <w:rPr>
          <w:rFonts w:hint="default" w:ascii="Times New Roman" w:hAnsi="Times New Roman" w:eastAsia="仿宋_GB2312" w:cs="Times New Roman"/>
          <w:color w:val="auto"/>
          <w:sz w:val="32"/>
          <w:szCs w:val="32"/>
          <w:highlight w:val="none"/>
          <w:lang w:val="en-US" w:eastAsia="zh-CN"/>
        </w:rPr>
        <w:t>强化产业承载与创新服务功能，完善公共服务配套体系，实现产业园区与城市融合发展。</w:t>
      </w:r>
    </w:p>
    <w:p w14:paraId="39F26D1D">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26" w:name="_Toc439841322"/>
      <w:r>
        <w:rPr>
          <w:rFonts w:hint="eastAsia" w:ascii="楷体_GB2312" w:hAnsi="楷体_GB2312" w:eastAsia="楷体_GB2312" w:cs="楷体_GB2312"/>
          <w:kern w:val="21"/>
          <w:sz w:val="32"/>
          <w:szCs w:val="32"/>
          <w:highlight w:val="none"/>
          <w:lang w:val="en-US" w:eastAsia="zh-CN"/>
        </w:rPr>
        <w:t>第二节  推动城市内涵式发展</w:t>
      </w:r>
      <w:bookmarkEnd w:id="26"/>
    </w:p>
    <w:p w14:paraId="267908E6">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lang w:eastAsia="zh-CN"/>
        </w:rPr>
      </w:pPr>
      <w:r>
        <w:rPr>
          <w:rFonts w:hint="default" w:ascii="Times New Roman" w:hAnsi="Times New Roman" w:cs="Times New Roman"/>
          <w:lang w:eastAsia="zh-CN"/>
        </w:rPr>
        <w:t>坚持以高质量发展为</w:t>
      </w:r>
      <w:r>
        <w:rPr>
          <w:rFonts w:hint="default" w:ascii="Times New Roman" w:hAnsi="Times New Roman" w:cs="Times New Roman"/>
          <w:lang w:val="en-US" w:eastAsia="zh-CN"/>
        </w:rPr>
        <w:t>主题，以</w:t>
      </w:r>
      <w:r>
        <w:rPr>
          <w:rFonts w:hint="default" w:ascii="Times New Roman" w:hAnsi="Times New Roman" w:cs="Times New Roman"/>
          <w:lang w:eastAsia="zh-CN"/>
        </w:rPr>
        <w:t>内涵</w:t>
      </w:r>
      <w:r>
        <w:rPr>
          <w:rFonts w:hint="default" w:ascii="Times New Roman" w:hAnsi="Times New Roman" w:cs="Times New Roman"/>
          <w:lang w:val="en-US" w:eastAsia="zh-CN"/>
        </w:rPr>
        <w:t>式</w:t>
      </w:r>
      <w:r>
        <w:rPr>
          <w:rFonts w:hint="default" w:ascii="Times New Roman" w:hAnsi="Times New Roman" w:cs="Times New Roman"/>
          <w:lang w:eastAsia="zh-CN"/>
        </w:rPr>
        <w:t>发展为主线，</w:t>
      </w:r>
      <w:r>
        <w:rPr>
          <w:rFonts w:hint="default" w:ascii="Times New Roman" w:hAnsi="Times New Roman" w:cs="Times New Roman"/>
          <w:lang w:val="en-US" w:eastAsia="zh-CN"/>
        </w:rPr>
        <w:t>以有机</w:t>
      </w:r>
      <w:r>
        <w:rPr>
          <w:rFonts w:hint="default" w:ascii="Times New Roman" w:hAnsi="Times New Roman" w:cs="Times New Roman"/>
          <w:lang w:eastAsia="zh-CN"/>
        </w:rPr>
        <w:t>更新为抓手，</w:t>
      </w:r>
      <w:r>
        <w:rPr>
          <w:rFonts w:hint="default" w:ascii="Times New Roman" w:hAnsi="Times New Roman" w:cs="Times New Roman"/>
          <w:lang w:val="en-US" w:eastAsia="zh-CN"/>
        </w:rPr>
        <w:t>以</w:t>
      </w:r>
      <w:r>
        <w:rPr>
          <w:rFonts w:hint="default" w:ascii="Times New Roman" w:hAnsi="Times New Roman" w:cs="Times New Roman"/>
          <w:lang w:eastAsia="zh-CN"/>
        </w:rPr>
        <w:t>重点项目为支撑，</w:t>
      </w:r>
      <w:r>
        <w:rPr>
          <w:rFonts w:hint="default" w:ascii="Times New Roman" w:hAnsi="Times New Roman" w:cs="Times New Roman"/>
          <w:lang w:val="en-US" w:eastAsia="zh-CN"/>
        </w:rPr>
        <w:t>推动</w:t>
      </w:r>
      <w:r>
        <w:rPr>
          <w:rFonts w:hint="default" w:ascii="Times New Roman" w:hAnsi="Times New Roman" w:cs="Times New Roman"/>
          <w:lang w:eastAsia="zh-CN"/>
        </w:rPr>
        <w:t>城市品质</w:t>
      </w:r>
      <w:r>
        <w:rPr>
          <w:rFonts w:hint="default" w:ascii="Times New Roman" w:hAnsi="Times New Roman" w:cs="Times New Roman"/>
          <w:lang w:val="en-US" w:eastAsia="zh-CN"/>
        </w:rPr>
        <w:t>全面提升</w:t>
      </w:r>
      <w:r>
        <w:rPr>
          <w:rFonts w:hint="default" w:ascii="Times New Roman" w:hAnsi="Times New Roman" w:cs="Times New Roman"/>
          <w:lang w:eastAsia="zh-CN"/>
        </w:rPr>
        <w:t>。</w:t>
      </w:r>
    </w:p>
    <w:p w14:paraId="08542507">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lang w:eastAsia="zh-CN"/>
        </w:rPr>
      </w:pPr>
      <w:r>
        <w:rPr>
          <w:rFonts w:hint="eastAsia" w:ascii="楷体_GB2312" w:hAnsi="楷体_GB2312" w:eastAsia="楷体_GB2312" w:cs="楷体_GB2312"/>
          <w:b w:val="0"/>
          <w:bCs w:val="0"/>
          <w:lang w:val="en-US" w:eastAsia="zh-CN"/>
        </w:rPr>
        <w:t>推动</w:t>
      </w:r>
      <w:r>
        <w:rPr>
          <w:rFonts w:hint="eastAsia" w:ascii="楷体_GB2312" w:hAnsi="楷体_GB2312" w:eastAsia="楷体_GB2312" w:cs="楷体_GB2312"/>
          <w:b w:val="0"/>
          <w:bCs w:val="0"/>
          <w:lang w:eastAsia="zh-CN"/>
        </w:rPr>
        <w:t>城市有机更新。</w:t>
      </w:r>
      <w:r>
        <w:rPr>
          <w:rFonts w:hint="default" w:ascii="Times New Roman" w:hAnsi="Times New Roman" w:cs="Times New Roman"/>
          <w:lang w:val="en-US" w:eastAsia="zh-CN"/>
        </w:rPr>
        <w:t>聚焦解决群众急难愁盼问题，有序推动城市更新，补齐城市建设发展短板弱项。</w:t>
      </w:r>
      <w:r>
        <w:rPr>
          <w:rFonts w:hint="default" w:ascii="Times New Roman" w:hAnsi="Times New Roman" w:cs="Times New Roman"/>
          <w:lang w:eastAsia="zh-CN"/>
        </w:rPr>
        <w:t>加快棚户区回迁安置，</w:t>
      </w:r>
      <w:r>
        <w:rPr>
          <w:rFonts w:hint="default" w:ascii="Times New Roman" w:hAnsi="Times New Roman" w:cs="Times New Roman"/>
          <w:lang w:val="en-US" w:eastAsia="zh-CN"/>
        </w:rPr>
        <w:t>完成</w:t>
      </w:r>
      <w:r>
        <w:rPr>
          <w:rFonts w:hint="default" w:ascii="Times New Roman" w:hAnsi="Times New Roman" w:cs="Times New Roman"/>
          <w:lang w:eastAsia="zh-CN"/>
        </w:rPr>
        <w:t>四里石、</w:t>
      </w:r>
      <w:r>
        <w:rPr>
          <w:rFonts w:hint="default" w:ascii="Times New Roman" w:hAnsi="Times New Roman" w:cs="Times New Roman"/>
          <w:lang w:val="en-US" w:eastAsia="zh-CN"/>
        </w:rPr>
        <w:t>东巨山、曹沃、古井</w:t>
      </w:r>
      <w:r>
        <w:rPr>
          <w:rFonts w:hint="eastAsia" w:ascii="Times New Roman" w:hAnsi="Times New Roman" w:cs="Times New Roman"/>
          <w:lang w:val="en-US" w:eastAsia="zh-CN"/>
        </w:rPr>
        <w:t>等</w:t>
      </w:r>
      <w:r>
        <w:rPr>
          <w:rFonts w:hint="default" w:ascii="Times New Roman" w:hAnsi="Times New Roman" w:cs="Times New Roman"/>
          <w:lang w:eastAsia="zh-CN"/>
        </w:rPr>
        <w:t>棚户区回迁安置。</w:t>
      </w:r>
      <w:r>
        <w:rPr>
          <w:rFonts w:hint="default" w:ascii="Times New Roman" w:hAnsi="Times New Roman" w:cs="Times New Roman"/>
          <w:lang w:val="en-US" w:eastAsia="zh-CN"/>
        </w:rPr>
        <w:t>实施</w:t>
      </w:r>
      <w:r>
        <w:rPr>
          <w:rFonts w:hint="default" w:ascii="Times New Roman" w:hAnsi="Times New Roman" w:cs="Times New Roman"/>
          <w:lang w:eastAsia="zh-CN"/>
        </w:rPr>
        <w:t>老旧小区、</w:t>
      </w:r>
      <w:r>
        <w:rPr>
          <w:rFonts w:hint="default" w:ascii="Times New Roman" w:hAnsi="Times New Roman" w:cs="Times New Roman"/>
          <w:lang w:val="en-US" w:eastAsia="zh-CN"/>
        </w:rPr>
        <w:t>老旧厂区、老旧街区</w:t>
      </w:r>
      <w:r>
        <w:rPr>
          <w:rFonts w:hint="default" w:ascii="Times New Roman" w:hAnsi="Times New Roman" w:cs="Times New Roman"/>
          <w:lang w:eastAsia="zh-CN"/>
        </w:rPr>
        <w:t>改造，</w:t>
      </w:r>
      <w:r>
        <w:rPr>
          <w:rFonts w:hint="default" w:ascii="Times New Roman" w:hAnsi="Times New Roman" w:cs="Times New Roman"/>
          <w:lang w:val="en-US" w:eastAsia="zh-CN"/>
        </w:rPr>
        <w:t>有序</w:t>
      </w:r>
      <w:r>
        <w:rPr>
          <w:rFonts w:hint="default" w:ascii="Times New Roman" w:hAnsi="Times New Roman" w:cs="Times New Roman"/>
          <w:lang w:eastAsia="zh-CN"/>
        </w:rPr>
        <w:t>推进水、电、通信管网更新改造，优化小区道路铺装，按需加装电梯、增划停车泊位、提升绿化品质，</w:t>
      </w:r>
      <w:r>
        <w:rPr>
          <w:rFonts w:hint="default" w:ascii="Times New Roman" w:hAnsi="Times New Roman" w:cs="Times New Roman"/>
          <w:lang w:val="en-US" w:eastAsia="zh-CN"/>
        </w:rPr>
        <w:t>解决停车、充电设施老化等问题，持续</w:t>
      </w:r>
      <w:r>
        <w:rPr>
          <w:rFonts w:hint="default" w:ascii="Times New Roman" w:hAnsi="Times New Roman" w:cs="Times New Roman"/>
          <w:lang w:eastAsia="zh-CN"/>
        </w:rPr>
        <w:t>改善居住环境。推进重点片区更新，</w:t>
      </w:r>
      <w:r>
        <w:rPr>
          <w:rFonts w:hint="default" w:ascii="Times New Roman" w:hAnsi="Times New Roman" w:cs="Times New Roman"/>
          <w:lang w:val="en-US" w:eastAsia="zh-CN"/>
        </w:rPr>
        <w:t>高标准开发</w:t>
      </w:r>
      <w:r>
        <w:rPr>
          <w:rFonts w:hint="default" w:ascii="Times New Roman" w:hAnsi="Times New Roman" w:cs="Times New Roman"/>
          <w:lang w:eastAsia="zh-CN"/>
        </w:rPr>
        <w:t>“</w:t>
      </w:r>
      <w:r>
        <w:rPr>
          <w:rFonts w:hint="default" w:ascii="Times New Roman" w:hAnsi="Times New Roman" w:cs="Times New Roman"/>
          <w:lang w:val="en-US" w:eastAsia="zh-CN"/>
        </w:rPr>
        <w:t>两</w:t>
      </w:r>
      <w:r>
        <w:rPr>
          <w:rFonts w:hint="default" w:ascii="Times New Roman" w:hAnsi="Times New Roman" w:cs="Times New Roman"/>
          <w:lang w:eastAsia="zh-CN"/>
        </w:rPr>
        <w:t>高”、</w:t>
      </w:r>
      <w:r>
        <w:rPr>
          <w:rFonts w:hint="default" w:ascii="Times New Roman" w:hAnsi="Times New Roman" w:cs="Times New Roman"/>
          <w:lang w:val="en-US" w:eastAsia="zh-CN"/>
        </w:rPr>
        <w:t>高楼等</w:t>
      </w:r>
      <w:r>
        <w:rPr>
          <w:rFonts w:hint="default" w:ascii="Times New Roman" w:hAnsi="Times New Roman" w:cs="Times New Roman"/>
          <w:lang w:eastAsia="zh-CN"/>
        </w:rPr>
        <w:t>片区，</w:t>
      </w:r>
      <w:r>
        <w:rPr>
          <w:rFonts w:hint="default" w:ascii="Times New Roman" w:hAnsi="Times New Roman" w:cs="Times New Roman"/>
          <w:lang w:val="en-US" w:eastAsia="zh-CN"/>
        </w:rPr>
        <w:t>有序推进</w:t>
      </w:r>
      <w:r>
        <w:rPr>
          <w:rFonts w:hint="default" w:ascii="Times New Roman" w:hAnsi="Times New Roman" w:eastAsia="仿宋_GB2312" w:cs="Times New Roman"/>
          <w:b w:val="0"/>
          <w:bCs w:val="0"/>
          <w:color w:val="auto"/>
          <w:sz w:val="32"/>
          <w:szCs w:val="32"/>
          <w:highlight w:val="none"/>
          <w:u w:val="none" w:color="auto"/>
          <w:lang w:eastAsia="zh-CN" w:bidi="ar"/>
        </w:rPr>
        <w:t>“</w:t>
      </w:r>
      <w:r>
        <w:rPr>
          <w:rFonts w:hint="default" w:ascii="Times New Roman" w:hAnsi="Times New Roman" w:eastAsia="仿宋_GB2312" w:cs="Times New Roman"/>
          <w:b w:val="0"/>
          <w:bCs w:val="0"/>
          <w:color w:val="auto"/>
          <w:sz w:val="32"/>
          <w:szCs w:val="32"/>
          <w:highlight w:val="none"/>
          <w:u w:val="none" w:color="auto"/>
          <w:lang w:bidi="ar"/>
        </w:rPr>
        <w:t>好房子</w:t>
      </w:r>
      <w:r>
        <w:rPr>
          <w:rFonts w:hint="default" w:ascii="Times New Roman" w:hAnsi="Times New Roman" w:eastAsia="仿宋_GB2312" w:cs="Times New Roman"/>
          <w:b w:val="0"/>
          <w:bCs w:val="0"/>
          <w:color w:val="auto"/>
          <w:sz w:val="32"/>
          <w:szCs w:val="32"/>
          <w:highlight w:val="none"/>
          <w:u w:val="none" w:color="auto"/>
          <w:lang w:eastAsia="zh-CN" w:bidi="ar"/>
        </w:rPr>
        <w:t>”</w:t>
      </w:r>
      <w:r>
        <w:rPr>
          <w:rFonts w:hint="default" w:ascii="Times New Roman" w:hAnsi="Times New Roman" w:cs="Times New Roman"/>
          <w:b w:val="0"/>
          <w:bCs w:val="0"/>
          <w:color w:val="auto"/>
          <w:sz w:val="32"/>
          <w:szCs w:val="32"/>
          <w:highlight w:val="none"/>
          <w:u w:val="none" w:color="auto"/>
          <w:lang w:val="en-US" w:eastAsia="zh-CN" w:bidi="ar"/>
        </w:rPr>
        <w:t>建设</w:t>
      </w: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default" w:ascii="Times New Roman" w:hAnsi="Times New Roman" w:cs="Times New Roman"/>
          <w:b w:val="0"/>
          <w:bCs w:val="0"/>
          <w:color w:val="auto"/>
          <w:sz w:val="32"/>
          <w:szCs w:val="32"/>
          <w:highlight w:val="none"/>
          <w:u w:val="none" w:color="auto"/>
          <w:lang w:val="en-US" w:eastAsia="zh-CN"/>
        </w:rPr>
        <w:t>满足群众改善型住房需求</w:t>
      </w:r>
      <w:r>
        <w:rPr>
          <w:rFonts w:hint="default" w:ascii="Times New Roman" w:hAnsi="Times New Roman" w:eastAsia="仿宋_GB2312" w:cs="Times New Roman"/>
          <w:b w:val="0"/>
          <w:bCs w:val="0"/>
          <w:color w:val="auto"/>
          <w:sz w:val="32"/>
          <w:szCs w:val="32"/>
          <w:highlight w:val="none"/>
          <w:u w:val="none" w:color="auto"/>
          <w:lang w:val="en-US" w:eastAsia="zh-CN"/>
        </w:rPr>
        <w:t>。</w:t>
      </w:r>
    </w:p>
    <w:p w14:paraId="348B890B">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b w:val="0"/>
          <w:bCs w:val="0"/>
          <w:color w:val="auto"/>
          <w:sz w:val="32"/>
          <w:szCs w:val="32"/>
          <w:highlight w:val="none"/>
          <w:u w:val="none" w:color="auto"/>
          <w:lang w:val="en-US" w:eastAsia="zh-CN"/>
        </w:rPr>
      </w:pPr>
      <w:r>
        <w:rPr>
          <w:rFonts w:hint="eastAsia" w:ascii="楷体_GB2312" w:hAnsi="楷体_GB2312" w:eastAsia="楷体_GB2312" w:cs="楷体_GB2312"/>
          <w:b w:val="0"/>
          <w:bCs w:val="0"/>
          <w:lang w:val="en-US" w:eastAsia="zh-CN"/>
        </w:rPr>
        <w:t>完善市政基础设施。</w:t>
      </w:r>
      <w:r>
        <w:rPr>
          <w:rFonts w:hint="default" w:ascii="Times New Roman" w:hAnsi="Times New Roman" w:eastAsia="仿宋_GB2312" w:cs="Times New Roman"/>
          <w:color w:val="auto"/>
          <w:kern w:val="2"/>
          <w:sz w:val="32"/>
          <w:szCs w:val="32"/>
          <w:highlight w:val="none"/>
          <w:u w:val="none" w:color="auto"/>
          <w:lang w:val="en-US" w:eastAsia="zh-CN" w:bidi="ar"/>
        </w:rPr>
        <w:t>实施路网畅通工程，持续改造“老化路”、拓宽“瓶颈路”、打通“断头路”，</w:t>
      </w:r>
      <w:r>
        <w:rPr>
          <w:rFonts w:hint="default" w:ascii="Times New Roman" w:hAnsi="Times New Roman" w:cs="Times New Roman"/>
          <w:color w:val="auto"/>
          <w:kern w:val="2"/>
          <w:sz w:val="32"/>
          <w:szCs w:val="32"/>
          <w:highlight w:val="none"/>
          <w:u w:val="none" w:color="auto"/>
          <w:lang w:val="en-US" w:eastAsia="zh-CN" w:bidi="ar"/>
        </w:rPr>
        <w:t>完成黄河东路、长江东路、济安路等道路建设，推动</w:t>
      </w:r>
      <w:r>
        <w:rPr>
          <w:rFonts w:hint="default" w:ascii="Times New Roman" w:hAnsi="Times New Roman" w:eastAsia="仿宋_GB2312" w:cs="Times New Roman"/>
          <w:color w:val="auto"/>
          <w:kern w:val="2"/>
          <w:sz w:val="32"/>
          <w:szCs w:val="32"/>
          <w:highlight w:val="none"/>
          <w:u w:val="none" w:color="auto"/>
          <w:lang w:val="en-US" w:eastAsia="zh-CN" w:bidi="ar"/>
        </w:rPr>
        <w:t>城区主次干道成环成网、畅联互通。坚持“小切口、微改造”，渠化道路交叉口、优化道路开口、深化信号灯配时，</w:t>
      </w:r>
      <w:r>
        <w:rPr>
          <w:rFonts w:hint="default" w:ascii="Times New Roman" w:hAnsi="Times New Roman" w:cs="Times New Roman"/>
          <w:color w:val="auto"/>
          <w:kern w:val="2"/>
          <w:sz w:val="32"/>
          <w:szCs w:val="32"/>
          <w:highlight w:val="none"/>
          <w:u w:val="none" w:color="auto"/>
          <w:lang w:val="en-US" w:eastAsia="zh-CN" w:bidi="ar"/>
        </w:rPr>
        <w:t>科学规划建设过街天桥、地下人行通道，</w:t>
      </w:r>
      <w:r>
        <w:rPr>
          <w:rFonts w:hint="default" w:ascii="Times New Roman" w:hAnsi="Times New Roman" w:eastAsia="仿宋_GB2312" w:cs="Times New Roman"/>
          <w:color w:val="auto"/>
          <w:kern w:val="2"/>
          <w:sz w:val="32"/>
          <w:szCs w:val="32"/>
          <w:highlight w:val="none"/>
          <w:u w:val="none" w:color="auto"/>
          <w:lang w:val="en-US" w:eastAsia="zh-CN" w:bidi="ar"/>
        </w:rPr>
        <w:t>提升路网</w:t>
      </w:r>
      <w:r>
        <w:rPr>
          <w:rFonts w:hint="default" w:ascii="Times New Roman" w:hAnsi="Times New Roman" w:cs="Times New Roman"/>
          <w:color w:val="auto"/>
          <w:kern w:val="2"/>
          <w:sz w:val="32"/>
          <w:szCs w:val="32"/>
          <w:highlight w:val="none"/>
          <w:u w:val="none" w:color="auto"/>
          <w:lang w:val="en-US" w:eastAsia="zh-CN" w:bidi="ar"/>
        </w:rPr>
        <w:t>通行</w:t>
      </w:r>
      <w:r>
        <w:rPr>
          <w:rFonts w:hint="default" w:ascii="Times New Roman" w:hAnsi="Times New Roman" w:eastAsia="仿宋_GB2312" w:cs="Times New Roman"/>
          <w:color w:val="auto"/>
          <w:kern w:val="2"/>
          <w:sz w:val="32"/>
          <w:szCs w:val="32"/>
          <w:highlight w:val="none"/>
          <w:u w:val="none" w:color="auto"/>
          <w:lang w:val="en-US" w:eastAsia="zh-CN" w:bidi="ar"/>
        </w:rPr>
        <w:t>效能。统筹布局各类城市地下管线管廊及设施建设改造，</w:t>
      </w:r>
      <w:r>
        <w:rPr>
          <w:rFonts w:hint="default" w:ascii="Times New Roman" w:hAnsi="Times New Roman" w:eastAsia="仿宋_GB2312" w:cs="Times New Roman"/>
          <w:b w:val="0"/>
          <w:bCs w:val="0"/>
          <w:color w:val="auto"/>
          <w:sz w:val="32"/>
          <w:szCs w:val="32"/>
          <w:highlight w:val="none"/>
          <w:u w:val="none" w:color="auto"/>
          <w:lang w:val="en-US" w:eastAsia="zh-CN"/>
        </w:rPr>
        <w:t>实施城市排水管网更新工程，对新老城区老旧供水管网、污水管网、热力管网进行提标改造。实施雨污分流改造，提升城市防洪排涝能力。加快城市智慧停车场建设，在商圈、医院、学校周边建设大型停车场，缓解“停车难”问题。</w:t>
      </w:r>
    </w:p>
    <w:p w14:paraId="07CDE18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kern w:val="21"/>
          <w:sz w:val="32"/>
          <w:szCs w:val="32"/>
        </w:rPr>
      </w:pPr>
      <w:r>
        <w:rPr>
          <w:rFonts w:hint="eastAsia" w:ascii="楷体_GB2312" w:hAnsi="楷体_GB2312" w:eastAsia="楷体_GB2312" w:cs="楷体_GB2312"/>
          <w:kern w:val="21"/>
          <w:sz w:val="32"/>
          <w:szCs w:val="32"/>
          <w:lang w:val="en-US" w:eastAsia="zh-CN"/>
        </w:rPr>
        <w:t>提升城市环境品质。</w:t>
      </w:r>
      <w:r>
        <w:rPr>
          <w:rFonts w:hint="default" w:ascii="Times New Roman" w:hAnsi="Times New Roman" w:eastAsia="仿宋_GB2312" w:cs="Times New Roman"/>
          <w:color w:val="auto"/>
          <w:kern w:val="0"/>
          <w:sz w:val="32"/>
          <w:szCs w:val="32"/>
          <w:highlight w:val="none"/>
          <w:u w:val="none" w:color="auto"/>
          <w:lang w:val="en-US" w:eastAsia="zh-CN" w:bidi="ar"/>
        </w:rPr>
        <w:t>扩大城市公园绿地面积，丰富城市公园绿地功能</w:t>
      </w:r>
      <w:r>
        <w:rPr>
          <w:rFonts w:hint="default" w:ascii="Times New Roman" w:hAnsi="Times New Roman" w:cs="Times New Roman"/>
          <w:color w:val="auto"/>
          <w:kern w:val="0"/>
          <w:sz w:val="32"/>
          <w:szCs w:val="32"/>
          <w:highlight w:val="none"/>
          <w:u w:val="none" w:color="auto"/>
          <w:lang w:val="en-US" w:eastAsia="zh-CN" w:bidi="ar"/>
        </w:rPr>
        <w:t>，</w:t>
      </w:r>
      <w:r>
        <w:rPr>
          <w:rFonts w:hint="default" w:ascii="Times New Roman" w:hAnsi="Times New Roman" w:eastAsia="仿宋_GB2312" w:cs="Times New Roman"/>
          <w:kern w:val="21"/>
          <w:sz w:val="32"/>
          <w:szCs w:val="32"/>
        </w:rPr>
        <w:t>完善休闲步道、健身设施，打造集生态涵养、休闲游憩于一体的综合性城市公园</w:t>
      </w:r>
      <w:r>
        <w:rPr>
          <w:rFonts w:hint="default" w:ascii="Times New Roman" w:hAnsi="Times New Roman" w:cs="Times New Roman"/>
          <w:kern w:val="21"/>
          <w:sz w:val="32"/>
          <w:szCs w:val="32"/>
          <w:lang w:eastAsia="zh-CN"/>
        </w:rPr>
        <w:t>。</w:t>
      </w:r>
      <w:r>
        <w:rPr>
          <w:rFonts w:hint="default" w:ascii="Times New Roman" w:hAnsi="Times New Roman" w:eastAsia="仿宋_GB2312" w:cs="Times New Roman"/>
          <w:kern w:val="21"/>
          <w:sz w:val="32"/>
          <w:szCs w:val="32"/>
        </w:rPr>
        <w:t>在社区街角、道路交叉口建设口袋公园、街</w:t>
      </w:r>
      <w:r>
        <w:rPr>
          <w:rFonts w:hint="default" w:ascii="Times New Roman" w:hAnsi="Times New Roman" w:cs="Times New Roman"/>
          <w:kern w:val="21"/>
          <w:sz w:val="32"/>
          <w:szCs w:val="32"/>
          <w:lang w:val="en-US" w:eastAsia="zh-CN"/>
        </w:rPr>
        <w:t>头</w:t>
      </w:r>
      <w:r>
        <w:rPr>
          <w:rFonts w:hint="default" w:ascii="Times New Roman" w:hAnsi="Times New Roman" w:eastAsia="仿宋_GB2312" w:cs="Times New Roman"/>
          <w:kern w:val="21"/>
          <w:sz w:val="32"/>
          <w:szCs w:val="32"/>
        </w:rPr>
        <w:t>绿地，植入乡土植物与文化小品，实现“推窗见绿、出门入园”。推进绿道绿廊建设，串联公园、河道、社区、产业园区，形成连续的生态休闲网络，方便群众骑行漫步</w:t>
      </w:r>
      <w:r>
        <w:rPr>
          <w:rFonts w:hint="default" w:ascii="Times New Roman" w:hAnsi="Times New Roman" w:cs="Times New Roman"/>
          <w:kern w:val="21"/>
          <w:sz w:val="32"/>
          <w:szCs w:val="32"/>
          <w:lang w:eastAsia="zh-CN"/>
        </w:rPr>
        <w:t>。</w:t>
      </w:r>
      <w:r>
        <w:rPr>
          <w:rFonts w:hint="default" w:ascii="Times New Roman" w:hAnsi="Times New Roman" w:eastAsia="仿宋_GB2312" w:cs="Times New Roman"/>
          <w:kern w:val="21"/>
          <w:sz w:val="32"/>
          <w:szCs w:val="32"/>
        </w:rPr>
        <w:t>加强蟠龙河、小沙河等河道生态修复，实施清淤疏浚、沿岸绿化、水质净化工程，提升水环境质量，打造“河畅水清岸绿景美”的滨水宜居空间。</w:t>
      </w:r>
    </w:p>
    <w:p w14:paraId="5AFF91E4">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27" w:name="_Toc1315714064"/>
      <w:r>
        <w:rPr>
          <w:rFonts w:hint="eastAsia" w:ascii="楷体_GB2312" w:hAnsi="楷体_GB2312" w:eastAsia="楷体_GB2312" w:cs="楷体_GB2312"/>
          <w:kern w:val="21"/>
          <w:sz w:val="32"/>
          <w:szCs w:val="32"/>
          <w:highlight w:val="none"/>
          <w:lang w:val="en-US" w:eastAsia="zh-CN"/>
        </w:rPr>
        <w:t>第三节  提升精细化管理水平</w:t>
      </w:r>
      <w:bookmarkEnd w:id="27"/>
    </w:p>
    <w:p w14:paraId="42B494F6">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eastAsia="zh-CN"/>
        </w:rPr>
        <w:t>以美学塑风貌，以运维强保障，</w:t>
      </w:r>
      <w:r>
        <w:rPr>
          <w:rFonts w:hint="default" w:ascii="Times New Roman" w:hAnsi="Times New Roman" w:cs="Times New Roman"/>
          <w:highlight w:val="none"/>
          <w:lang w:val="en-US" w:eastAsia="zh-CN"/>
        </w:rPr>
        <w:t>以智慧提效能</w:t>
      </w:r>
      <w:r>
        <w:rPr>
          <w:rFonts w:hint="default" w:ascii="Times New Roman" w:hAnsi="Times New Roman" w:cs="Times New Roman"/>
          <w:highlight w:val="none"/>
          <w:lang w:eastAsia="zh-CN"/>
        </w:rPr>
        <w:t>，推动城市管理精细化，让城市运行更有序、群众生活更舒心。</w:t>
      </w:r>
    </w:p>
    <w:p w14:paraId="67B67C97">
      <w:pPr>
        <w:keepNext w:val="0"/>
        <w:keepLines w:val="0"/>
        <w:pageBreakBefore w:val="0"/>
        <w:widowControl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lang w:eastAsia="zh-CN"/>
        </w:rPr>
      </w:pPr>
      <w:r>
        <w:rPr>
          <w:rFonts w:hint="eastAsia" w:ascii="楷体_GB2312" w:hAnsi="楷体_GB2312" w:eastAsia="楷体_GB2312" w:cs="楷体_GB2312"/>
          <w:b w:val="0"/>
          <w:bCs w:val="0"/>
          <w:lang w:eastAsia="zh-CN"/>
        </w:rPr>
        <w:t>塑造城市特色风貌。</w:t>
      </w:r>
      <w:r>
        <w:rPr>
          <w:rFonts w:hint="default" w:ascii="Times New Roman" w:hAnsi="Times New Roman" w:eastAsia="仿宋_GB2312" w:cs="Times New Roman"/>
          <w:b w:val="0"/>
          <w:bCs w:val="0"/>
          <w:color w:val="auto"/>
          <w:spacing w:val="0"/>
          <w:sz w:val="32"/>
          <w:szCs w:val="32"/>
          <w:highlight w:val="none"/>
        </w:rPr>
        <w:t>在城市规划、建设和管理中全方位融入美学考量，提升城市立面、第五立面（屋顶）、景观小品等设计水平。</w:t>
      </w:r>
      <w:r>
        <w:rPr>
          <w:rFonts w:hint="default" w:ascii="Times New Roman" w:hAnsi="Times New Roman" w:cs="Times New Roman"/>
          <w:lang w:eastAsia="zh-CN"/>
        </w:rPr>
        <w:t>在公园、道路节点植入奚仲文化、铁道游击队红色文化、石榴文化等特色元素，增强城市文化辨识度。规范户外广告、商铺招牌设置，提升临山老街等特色街区品质。</w:t>
      </w:r>
    </w:p>
    <w:p w14:paraId="0C355BA6">
      <w:pPr>
        <w:keepNext w:val="0"/>
        <w:keepLines w:val="0"/>
        <w:pageBreakBefore w:val="0"/>
        <w:widowControl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eastAsia="仿宋_GB2312" w:cs="Times New Roman"/>
          <w:b w:val="0"/>
          <w:bCs w:val="0"/>
          <w:color w:val="auto"/>
          <w:spacing w:val="0"/>
          <w:sz w:val="32"/>
          <w:szCs w:val="32"/>
          <w:highlight w:val="none"/>
        </w:rPr>
      </w:pPr>
      <w:r>
        <w:rPr>
          <w:rFonts w:hint="eastAsia" w:ascii="楷体_GB2312" w:hAnsi="楷体_GB2312" w:eastAsia="楷体_GB2312" w:cs="楷体_GB2312"/>
          <w:b w:val="0"/>
          <w:bCs w:val="0"/>
          <w:lang w:val="en-US" w:eastAsia="zh-CN"/>
        </w:rPr>
        <w:t>提升</w:t>
      </w:r>
      <w:r>
        <w:rPr>
          <w:rFonts w:hint="eastAsia" w:ascii="楷体_GB2312" w:hAnsi="楷体_GB2312" w:eastAsia="楷体_GB2312" w:cs="楷体_GB2312"/>
          <w:b w:val="0"/>
          <w:bCs w:val="0"/>
          <w:lang w:eastAsia="zh-CN"/>
        </w:rPr>
        <w:t>运维保障</w:t>
      </w:r>
      <w:r>
        <w:rPr>
          <w:rFonts w:hint="eastAsia" w:ascii="楷体_GB2312" w:hAnsi="楷体_GB2312" w:eastAsia="楷体_GB2312" w:cs="楷体_GB2312"/>
          <w:b w:val="0"/>
          <w:bCs w:val="0"/>
          <w:lang w:val="en-US" w:eastAsia="zh-CN"/>
        </w:rPr>
        <w:t>水平</w:t>
      </w:r>
      <w:r>
        <w:rPr>
          <w:rFonts w:hint="eastAsia" w:ascii="楷体_GB2312" w:hAnsi="楷体_GB2312" w:eastAsia="楷体_GB2312" w:cs="楷体_GB2312"/>
          <w:b w:val="0"/>
          <w:bCs w:val="0"/>
          <w:lang w:eastAsia="zh-CN"/>
        </w:rPr>
        <w:t>。</w:t>
      </w:r>
      <w:r>
        <w:rPr>
          <w:rFonts w:hint="default" w:ascii="Times New Roman" w:hAnsi="Times New Roman" w:eastAsia="仿宋_GB2312" w:cs="Times New Roman"/>
          <w:b w:val="0"/>
          <w:bCs w:val="0"/>
          <w:color w:val="auto"/>
          <w:spacing w:val="0"/>
          <w:kern w:val="0"/>
          <w:sz w:val="32"/>
          <w:szCs w:val="32"/>
          <w:highlight w:val="none"/>
        </w:rPr>
        <w:t>常态化巡检维修市政设施，提升环卫保洁标准，确保城市道路、桥梁、地下管网等设施功能完善、运行安全。</w:t>
      </w:r>
      <w:r>
        <w:rPr>
          <w:rFonts w:hint="default" w:ascii="Times New Roman" w:hAnsi="Times New Roman" w:cs="Times New Roman"/>
          <w:b w:val="0"/>
          <w:bCs w:val="0"/>
          <w:color w:val="auto"/>
          <w:spacing w:val="0"/>
          <w:kern w:val="0"/>
          <w:sz w:val="32"/>
          <w:szCs w:val="32"/>
          <w:highlight w:val="none"/>
          <w:lang w:val="en-US" w:eastAsia="zh-CN"/>
        </w:rPr>
        <w:t>实施</w:t>
      </w:r>
      <w:r>
        <w:rPr>
          <w:rFonts w:hint="default" w:ascii="Times New Roman" w:hAnsi="Times New Roman" w:eastAsia="仿宋_GB2312" w:cs="Times New Roman"/>
          <w:b w:val="0"/>
          <w:bCs w:val="0"/>
          <w:color w:val="auto"/>
          <w:spacing w:val="0"/>
          <w:kern w:val="0"/>
          <w:sz w:val="32"/>
          <w:szCs w:val="32"/>
          <w:highlight w:val="none"/>
        </w:rPr>
        <w:t>城市基础设施生命线安全工程建设，</w:t>
      </w:r>
      <w:r>
        <w:rPr>
          <w:rFonts w:hint="default" w:ascii="Times New Roman" w:hAnsi="Times New Roman" w:eastAsia="仿宋_GB2312" w:cs="Times New Roman"/>
          <w:color w:val="auto"/>
          <w:kern w:val="2"/>
          <w:sz w:val="32"/>
          <w:szCs w:val="32"/>
          <w:highlight w:val="none"/>
          <w:u w:val="none" w:color="auto"/>
          <w:lang w:val="en-US" w:eastAsia="zh-CN" w:bidi="ar"/>
        </w:rPr>
        <w:t>推动燃气、供热等设施加装物联</w:t>
      </w:r>
      <w:r>
        <w:rPr>
          <w:rFonts w:hint="default" w:ascii="Times New Roman" w:hAnsi="Times New Roman" w:eastAsia="仿宋_GB2312" w:cs="Times New Roman"/>
          <w:b w:val="0"/>
          <w:bCs w:val="0"/>
          <w:color w:val="auto"/>
          <w:sz w:val="32"/>
          <w:szCs w:val="32"/>
          <w:highlight w:val="none"/>
          <w:u w:val="none" w:color="auto"/>
          <w:lang w:val="en-US" w:eastAsia="zh-CN"/>
        </w:rPr>
        <w:t>智能感知设备，提高智慧化监管、运维水平</w:t>
      </w:r>
      <w:r>
        <w:rPr>
          <w:rFonts w:hint="default" w:ascii="Times New Roman" w:hAnsi="Times New Roman" w:cs="Times New Roman"/>
          <w:b w:val="0"/>
          <w:bCs w:val="0"/>
          <w:color w:val="auto"/>
          <w:sz w:val="32"/>
          <w:szCs w:val="32"/>
          <w:highlight w:val="none"/>
          <w:u w:val="none" w:color="auto"/>
          <w:lang w:val="en-US" w:eastAsia="zh-CN"/>
        </w:rPr>
        <w:t>，</w:t>
      </w:r>
      <w:r>
        <w:rPr>
          <w:rFonts w:hint="default" w:ascii="Times New Roman" w:hAnsi="Times New Roman" w:eastAsia="仿宋_GB2312" w:cs="Times New Roman"/>
          <w:b w:val="0"/>
          <w:bCs w:val="0"/>
          <w:color w:val="auto"/>
          <w:spacing w:val="0"/>
          <w:kern w:val="0"/>
          <w:sz w:val="32"/>
          <w:szCs w:val="32"/>
          <w:highlight w:val="none"/>
        </w:rPr>
        <w:t>构建智能监测预警体系，提升城市安全韧性水平。</w:t>
      </w:r>
      <w:r>
        <w:rPr>
          <w:rFonts w:hint="default" w:ascii="Times New Roman" w:hAnsi="Times New Roman" w:eastAsia="仿宋_GB2312" w:cs="Times New Roman"/>
          <w:b w:val="0"/>
          <w:bCs w:val="0"/>
          <w:color w:val="auto"/>
          <w:spacing w:val="0"/>
          <w:sz w:val="32"/>
          <w:szCs w:val="32"/>
          <w:highlight w:val="none"/>
        </w:rPr>
        <w:t>精准把握国家“两重”“两新”等政策导向和资金投向，聚焦中央预算内投资、超长期</w:t>
      </w:r>
      <w:r>
        <w:rPr>
          <w:rFonts w:hint="default" w:ascii="Times New Roman" w:hAnsi="Times New Roman" w:cs="Times New Roman"/>
          <w:b w:val="0"/>
          <w:bCs w:val="0"/>
          <w:color w:val="auto"/>
          <w:spacing w:val="0"/>
          <w:sz w:val="32"/>
          <w:szCs w:val="32"/>
          <w:highlight w:val="none"/>
          <w:lang w:val="en-US" w:eastAsia="zh-CN"/>
        </w:rPr>
        <w:t>特别</w:t>
      </w:r>
      <w:r>
        <w:rPr>
          <w:rFonts w:hint="default" w:ascii="Times New Roman" w:hAnsi="Times New Roman" w:eastAsia="仿宋_GB2312" w:cs="Times New Roman"/>
          <w:b w:val="0"/>
          <w:bCs w:val="0"/>
          <w:color w:val="auto"/>
          <w:spacing w:val="0"/>
          <w:sz w:val="32"/>
          <w:szCs w:val="32"/>
          <w:highlight w:val="none"/>
        </w:rPr>
        <w:t>国债、</w:t>
      </w:r>
      <w:r>
        <w:rPr>
          <w:rFonts w:hint="default" w:ascii="Times New Roman" w:hAnsi="Times New Roman" w:cs="Times New Roman"/>
          <w:b w:val="0"/>
          <w:bCs w:val="0"/>
          <w:color w:val="auto"/>
          <w:spacing w:val="0"/>
          <w:sz w:val="32"/>
          <w:szCs w:val="32"/>
          <w:highlight w:val="none"/>
          <w:lang w:val="en-US" w:eastAsia="zh-CN"/>
        </w:rPr>
        <w:t>地方政府</w:t>
      </w:r>
      <w:r>
        <w:rPr>
          <w:rFonts w:hint="default" w:ascii="Times New Roman" w:hAnsi="Times New Roman" w:eastAsia="仿宋_GB2312" w:cs="Times New Roman"/>
          <w:b w:val="0"/>
          <w:bCs w:val="0"/>
          <w:color w:val="auto"/>
          <w:spacing w:val="0"/>
          <w:sz w:val="32"/>
          <w:szCs w:val="32"/>
          <w:highlight w:val="none"/>
        </w:rPr>
        <w:t>专项债券等，谋划储备一批符合要求的高质量项目，</w:t>
      </w:r>
      <w:r>
        <w:rPr>
          <w:rFonts w:hint="default" w:ascii="Times New Roman" w:hAnsi="Times New Roman" w:cs="Times New Roman"/>
          <w:b w:val="0"/>
          <w:bCs w:val="0"/>
          <w:color w:val="auto"/>
          <w:spacing w:val="0"/>
          <w:sz w:val="32"/>
          <w:szCs w:val="32"/>
          <w:highlight w:val="none"/>
          <w:lang w:val="en-US" w:eastAsia="zh-CN"/>
        </w:rPr>
        <w:t>积极对上争取，</w:t>
      </w:r>
      <w:r>
        <w:rPr>
          <w:rFonts w:hint="default" w:ascii="Times New Roman" w:hAnsi="Times New Roman" w:eastAsia="仿宋_GB2312" w:cs="Times New Roman"/>
          <w:b w:val="0"/>
          <w:bCs w:val="0"/>
          <w:color w:val="auto"/>
          <w:spacing w:val="0"/>
          <w:sz w:val="32"/>
          <w:szCs w:val="32"/>
          <w:highlight w:val="none"/>
        </w:rPr>
        <w:t>力争更多项目</w:t>
      </w:r>
      <w:r>
        <w:rPr>
          <w:rFonts w:hint="default" w:ascii="Times New Roman" w:hAnsi="Times New Roman" w:eastAsia="仿宋_GB2312" w:cs="Times New Roman"/>
          <w:b w:val="0"/>
          <w:bCs w:val="0"/>
          <w:color w:val="auto"/>
          <w:spacing w:val="0"/>
          <w:sz w:val="32"/>
          <w:szCs w:val="32"/>
          <w:highlight w:val="none"/>
          <w:lang w:val="en-US" w:eastAsia="zh-CN"/>
        </w:rPr>
        <w:t>获得</w:t>
      </w:r>
      <w:r>
        <w:rPr>
          <w:rFonts w:hint="default" w:ascii="Times New Roman" w:hAnsi="Times New Roman" w:eastAsia="仿宋_GB2312" w:cs="Times New Roman"/>
          <w:b w:val="0"/>
          <w:bCs w:val="0"/>
          <w:color w:val="auto"/>
          <w:spacing w:val="0"/>
          <w:sz w:val="32"/>
          <w:szCs w:val="32"/>
          <w:highlight w:val="none"/>
        </w:rPr>
        <w:t>上级</w:t>
      </w:r>
      <w:r>
        <w:rPr>
          <w:rFonts w:hint="default" w:ascii="Times New Roman" w:hAnsi="Times New Roman" w:eastAsia="仿宋_GB2312" w:cs="Times New Roman"/>
          <w:b w:val="0"/>
          <w:bCs w:val="0"/>
          <w:color w:val="auto"/>
          <w:spacing w:val="0"/>
          <w:sz w:val="32"/>
          <w:szCs w:val="32"/>
          <w:highlight w:val="none"/>
          <w:lang w:val="en-US" w:eastAsia="zh-CN"/>
        </w:rPr>
        <w:t>政策资金支持</w:t>
      </w:r>
      <w:r>
        <w:rPr>
          <w:rFonts w:hint="default" w:ascii="Times New Roman" w:hAnsi="Times New Roman" w:eastAsia="仿宋_GB2312" w:cs="Times New Roman"/>
          <w:b w:val="0"/>
          <w:bCs w:val="0"/>
          <w:color w:val="auto"/>
          <w:spacing w:val="0"/>
          <w:sz w:val="32"/>
          <w:szCs w:val="32"/>
          <w:highlight w:val="none"/>
        </w:rPr>
        <w:t>。因地制宜推动</w:t>
      </w:r>
      <w:r>
        <w:rPr>
          <w:rFonts w:hint="default"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rPr>
        <w:t>产业+配套服务</w:t>
      </w:r>
      <w:r>
        <w:rPr>
          <w:rFonts w:hint="default"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rPr>
        <w:t>融合、</w:t>
      </w:r>
      <w:r>
        <w:rPr>
          <w:rFonts w:hint="default"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rPr>
        <w:t>商业+文化体验</w:t>
      </w:r>
      <w:r>
        <w:rPr>
          <w:rFonts w:hint="default"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rPr>
        <w:t>融合、</w:t>
      </w:r>
      <w:r>
        <w:rPr>
          <w:rFonts w:hint="default"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rPr>
        <w:t>民生+商业服务</w:t>
      </w:r>
      <w:r>
        <w:rPr>
          <w:rFonts w:hint="default"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rPr>
        <w:t>融合，最大化挖掘空间使用价值，实现可持续运营。</w:t>
      </w:r>
    </w:p>
    <w:p w14:paraId="265A5BF3">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lang w:eastAsia="zh-CN"/>
        </w:rPr>
      </w:pPr>
      <w:r>
        <w:rPr>
          <w:rFonts w:hint="eastAsia" w:ascii="楷体_GB2312" w:hAnsi="楷体_GB2312" w:eastAsia="楷体_GB2312" w:cs="楷体_GB2312"/>
          <w:b w:val="0"/>
          <w:bCs w:val="0"/>
          <w:lang w:eastAsia="zh-CN"/>
        </w:rPr>
        <w:t>推进智慧精细治理。</w:t>
      </w:r>
      <w:r>
        <w:rPr>
          <w:rFonts w:hint="default" w:ascii="Times New Roman" w:hAnsi="Times New Roman" w:eastAsia="仿宋_GB2312" w:cs="Times New Roman"/>
          <w:b w:val="0"/>
          <w:bCs w:val="0"/>
          <w:color w:val="auto"/>
          <w:spacing w:val="0"/>
          <w:sz w:val="32"/>
          <w:highlight w:val="none"/>
        </w:rPr>
        <w:t>以智慧化、标准化赋能精细化管理，加强城市建设档案管理和数字化建</w:t>
      </w:r>
      <w:r>
        <w:rPr>
          <w:rFonts w:hint="default" w:ascii="Times New Roman" w:hAnsi="Times New Roman" w:eastAsia="仿宋_GB2312" w:cs="Times New Roman"/>
          <w:b w:val="0"/>
          <w:bCs w:val="0"/>
          <w:color w:val="auto"/>
          <w:spacing w:val="0"/>
          <w:sz w:val="32"/>
          <w:szCs w:val="32"/>
          <w:highlight w:val="none"/>
        </w:rPr>
        <w:t>设，统筹制定涵盖市容市貌、市政设施、园林绿化、环境卫生、城管执法等领域的精细化工作标准，构建“上下贯通、左右衔接、协同联动、高度集成”“一网统管”的城市运行管理服务体系，</w:t>
      </w:r>
      <w:r>
        <w:rPr>
          <w:rFonts w:hint="default" w:ascii="Times New Roman" w:hAnsi="Times New Roman" w:eastAsia="仿宋_GB2312" w:cs="Times New Roman"/>
          <w:b w:val="0"/>
          <w:bCs w:val="0"/>
          <w:color w:val="auto"/>
          <w:spacing w:val="0"/>
          <w:sz w:val="32"/>
          <w:highlight w:val="none"/>
        </w:rPr>
        <w:t>推动全域城市管理效能升级。</w:t>
      </w:r>
      <w:r>
        <w:rPr>
          <w:rFonts w:hint="default" w:ascii="Times New Roman" w:hAnsi="Times New Roman" w:cs="Times New Roman"/>
          <w:lang w:eastAsia="zh-CN"/>
        </w:rPr>
        <w:t>健全“一把扫帚扫全城”机制，实现新老城区环卫保洁一体化。全面推进垃圾分类与资源化利用，优化生活垃圾日产日清机制。</w:t>
      </w:r>
      <w:r>
        <w:rPr>
          <w:rFonts w:hint="default" w:ascii="Times New Roman" w:hAnsi="Times New Roman" w:eastAsia="仿宋_GB2312" w:cs="Times New Roman"/>
          <w:b w:val="0"/>
          <w:bCs w:val="0"/>
          <w:color w:val="auto"/>
          <w:spacing w:val="0"/>
          <w:kern w:val="2"/>
          <w:sz w:val="32"/>
          <w:szCs w:val="32"/>
          <w:highlight w:val="none"/>
        </w:rPr>
        <w:t>推动物业服务融入基层社会治理，</w:t>
      </w:r>
      <w:r>
        <w:rPr>
          <w:rFonts w:hint="default" w:ascii="Times New Roman" w:hAnsi="Times New Roman" w:eastAsia="仿宋_GB2312" w:cs="Times New Roman"/>
          <w:b w:val="0"/>
          <w:bCs w:val="0"/>
          <w:color w:val="auto"/>
          <w:spacing w:val="0"/>
          <w:kern w:val="2"/>
          <w:sz w:val="32"/>
          <w:szCs w:val="32"/>
          <w:highlight w:val="none"/>
          <w:lang w:val="en-US" w:eastAsia="zh-CN"/>
        </w:rPr>
        <w:t>持续发挥信用治理效能，打造一批信用示范物业，</w:t>
      </w:r>
      <w:r>
        <w:rPr>
          <w:rFonts w:hint="default" w:ascii="Times New Roman" w:hAnsi="Times New Roman" w:eastAsia="仿宋_GB2312" w:cs="Times New Roman"/>
          <w:b w:val="0"/>
          <w:bCs w:val="0"/>
          <w:color w:val="auto"/>
          <w:spacing w:val="0"/>
          <w:sz w:val="32"/>
          <w:szCs w:val="32"/>
          <w:highlight w:val="none"/>
        </w:rPr>
        <w:t>纵深推进物业管理专项整治，全力解决群众急难愁盼</w:t>
      </w:r>
      <w:r>
        <w:rPr>
          <w:rFonts w:hint="default" w:ascii="Times New Roman" w:hAnsi="Times New Roman" w:cs="Times New Roman"/>
          <w:b w:val="0"/>
          <w:bCs w:val="0"/>
          <w:color w:val="auto"/>
          <w:spacing w:val="0"/>
          <w:sz w:val="32"/>
          <w:szCs w:val="32"/>
          <w:highlight w:val="none"/>
          <w:lang w:val="en-US" w:eastAsia="zh-CN"/>
        </w:rPr>
        <w:t>问题</w:t>
      </w:r>
      <w:r>
        <w:rPr>
          <w:rFonts w:hint="default" w:ascii="Times New Roman" w:hAnsi="Times New Roman" w:eastAsia="仿宋_GB2312" w:cs="Times New Roman"/>
          <w:b w:val="0"/>
          <w:bCs w:val="0"/>
          <w:color w:val="auto"/>
          <w:spacing w:val="0"/>
          <w:sz w:val="32"/>
          <w:szCs w:val="32"/>
          <w:highlight w:val="none"/>
        </w:rPr>
        <w:t>，不断提升群众满意度</w:t>
      </w:r>
      <w:r>
        <w:rPr>
          <w:rFonts w:hint="default" w:ascii="Times New Roman" w:hAnsi="Times New Roman" w:cs="Times New Roman"/>
          <w:lang w:eastAsia="zh-CN"/>
        </w:rPr>
        <w:t>。</w:t>
      </w:r>
    </w:p>
    <w:p w14:paraId="265002E0">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28" w:name="_Toc233107526"/>
      <w:r>
        <w:rPr>
          <w:rFonts w:hint="eastAsia" w:ascii="楷体_GB2312" w:hAnsi="楷体_GB2312" w:eastAsia="楷体_GB2312" w:cs="楷体_GB2312"/>
          <w:kern w:val="21"/>
          <w:sz w:val="32"/>
          <w:szCs w:val="32"/>
          <w:highlight w:val="none"/>
          <w:lang w:val="en-US" w:eastAsia="zh-CN"/>
        </w:rPr>
        <w:t>第四节  融入区域发展战略</w:t>
      </w:r>
      <w:bookmarkEnd w:id="28"/>
    </w:p>
    <w:p w14:paraId="13F7D20E">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lang w:eastAsia="zh-CN"/>
        </w:rPr>
      </w:pPr>
      <w:r>
        <w:rPr>
          <w:rFonts w:hint="default" w:ascii="Times New Roman" w:hAnsi="Times New Roman" w:cs="Times New Roman"/>
          <w:lang w:val="en-US" w:eastAsia="zh-CN"/>
        </w:rPr>
        <w:t>坚持</w:t>
      </w:r>
      <w:r>
        <w:rPr>
          <w:rFonts w:hint="default" w:ascii="Times New Roman" w:hAnsi="Times New Roman" w:cs="Times New Roman"/>
          <w:lang w:eastAsia="zh-CN"/>
        </w:rPr>
        <w:t>“</w:t>
      </w:r>
      <w:r>
        <w:rPr>
          <w:rFonts w:hint="default" w:ascii="Times New Roman" w:hAnsi="Times New Roman" w:cs="Times New Roman"/>
          <w:lang w:val="en-US" w:eastAsia="zh-CN"/>
        </w:rPr>
        <w:t>上接国家战略、</w:t>
      </w:r>
      <w:r>
        <w:rPr>
          <w:rFonts w:hint="default" w:ascii="Times New Roman" w:hAnsi="Times New Roman" w:cs="Times New Roman"/>
          <w:lang w:eastAsia="zh-CN"/>
        </w:rPr>
        <w:t>内融市域一体、外联区域圈层”，构建高效协同、互利共赢的联动发展格局，提升</w:t>
      </w:r>
      <w:r>
        <w:rPr>
          <w:rFonts w:hint="default" w:ascii="Times New Roman" w:hAnsi="Times New Roman" w:cs="Times New Roman"/>
          <w:lang w:val="en-US" w:eastAsia="zh-CN"/>
        </w:rPr>
        <w:t>区域发展</w:t>
      </w:r>
      <w:r>
        <w:rPr>
          <w:rFonts w:hint="default" w:ascii="Times New Roman" w:hAnsi="Times New Roman" w:cs="Times New Roman"/>
          <w:lang w:eastAsia="zh-CN"/>
        </w:rPr>
        <w:t>竞争力。</w:t>
      </w:r>
    </w:p>
    <w:p w14:paraId="2727D3FE">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highlight w:val="yellow"/>
          <w:lang w:val="en-US" w:eastAsia="zh-CN"/>
        </w:rPr>
      </w:pPr>
      <w:r>
        <w:rPr>
          <w:rFonts w:hint="eastAsia" w:ascii="楷体_GB2312" w:hAnsi="楷体_GB2312" w:eastAsia="楷体_GB2312" w:cs="楷体_GB2312"/>
          <w:b w:val="0"/>
          <w:bCs w:val="0"/>
          <w:lang w:val="en-US" w:eastAsia="zh-CN"/>
        </w:rPr>
        <w:t>深度对接重大区域战略。</w:t>
      </w:r>
      <w:r>
        <w:rPr>
          <w:rFonts w:hint="default" w:ascii="Times New Roman" w:hAnsi="Times New Roman" w:cs="Times New Roman"/>
          <w:lang w:val="en-US" w:eastAsia="zh-CN"/>
        </w:rPr>
        <w:t>主动融入黄河重大国家战略布局，持续推进生态保护修复和污染防治，扎实提升水资源节约利用和防灾减灾水平，加快推动发展方式全面绿色转型。落实南水北调东线工程水质安全和生态安全保障任务，</w:t>
      </w:r>
      <w:r>
        <w:rPr>
          <w:rFonts w:hint="default" w:ascii="Times New Roman" w:hAnsi="Times New Roman" w:cs="Times New Roman"/>
          <w:lang w:eastAsia="zh-CN"/>
        </w:rPr>
        <w:t>加强与南四湖流域城市生态联防联治，实现生态保护与经济发展协同推进</w:t>
      </w:r>
      <w:r>
        <w:rPr>
          <w:rFonts w:hint="default" w:ascii="Times New Roman" w:hAnsi="Times New Roman" w:cs="Times New Roman"/>
          <w:lang w:val="en-US" w:eastAsia="zh-CN"/>
        </w:rPr>
        <w:t>。高质量参与淮河生态经济带建设，持续做好河道水系治理、生态环境修复、文化遗产保护，积极参与大运河文化经济带建设。</w:t>
      </w:r>
    </w:p>
    <w:p w14:paraId="63AED91B">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lang w:eastAsia="zh-CN"/>
        </w:rPr>
      </w:pPr>
      <w:r>
        <w:rPr>
          <w:rFonts w:hint="eastAsia" w:ascii="楷体_GB2312" w:hAnsi="楷体_GB2312" w:eastAsia="楷体_GB2312" w:cs="楷体_GB2312"/>
          <w:b w:val="0"/>
          <w:bCs w:val="0"/>
          <w:lang w:val="en-US" w:eastAsia="zh-CN"/>
        </w:rPr>
        <w:t>深化区域间协同发展。</w:t>
      </w:r>
      <w:r>
        <w:rPr>
          <w:rFonts w:hint="default" w:ascii="Times New Roman" w:hAnsi="Times New Roman" w:cs="Times New Roman"/>
          <w:lang w:eastAsia="zh-CN"/>
        </w:rPr>
        <w:t>对接</w:t>
      </w:r>
      <w:r>
        <w:rPr>
          <w:rFonts w:hint="default" w:ascii="Times New Roman" w:hAnsi="Times New Roman" w:cs="Times New Roman"/>
          <w:lang w:val="en-US" w:eastAsia="zh-CN"/>
        </w:rPr>
        <w:t>苏皖鲁豫省际交界地区、</w:t>
      </w:r>
      <w:r>
        <w:rPr>
          <w:rFonts w:hint="default" w:ascii="Times New Roman" w:hAnsi="Times New Roman" w:cs="Times New Roman"/>
          <w:lang w:eastAsia="zh-CN"/>
        </w:rPr>
        <w:t>鲁南经济圈，</w:t>
      </w:r>
      <w:r>
        <w:rPr>
          <w:rFonts w:hint="default" w:ascii="Times New Roman" w:hAnsi="Times New Roman" w:cs="Times New Roman"/>
          <w:bCs/>
          <w:sz w:val="32"/>
          <w:szCs w:val="32"/>
          <w:lang w:val="en-US" w:eastAsia="zh-CN"/>
        </w:rPr>
        <w:t>深化“薛微同城化”发展，</w:t>
      </w:r>
      <w:r>
        <w:rPr>
          <w:rFonts w:hint="default" w:ascii="Times New Roman" w:hAnsi="Times New Roman" w:cs="Times New Roman"/>
          <w:lang w:eastAsia="zh-CN"/>
        </w:rPr>
        <w:t>加强在基础设施、产业布局、生态环保等领域的深度合作，实现资源共享、优势互补。</w:t>
      </w:r>
      <w:r>
        <w:rPr>
          <w:rFonts w:hint="default" w:ascii="Times New Roman" w:hAnsi="Times New Roman" w:cs="Times New Roman"/>
          <w:lang w:val="en-US" w:eastAsia="zh-CN"/>
        </w:rPr>
        <w:t>深化交通协同，积极配合庆云至枣庄高速延伸至徐州项目推进，支持枣庄港与济宁港、徐州港业务合作，</w:t>
      </w:r>
      <w:r>
        <w:rPr>
          <w:rFonts w:hint="default" w:ascii="Times New Roman" w:hAnsi="Times New Roman" w:cs="Times New Roman"/>
          <w:lang w:eastAsia="zh-CN"/>
        </w:rPr>
        <w:t>依托枣庄港、区域路网，构建高效便捷的</w:t>
      </w:r>
      <w:r>
        <w:rPr>
          <w:rFonts w:hint="default" w:ascii="Times New Roman" w:hAnsi="Times New Roman" w:cs="Times New Roman"/>
          <w:lang w:val="en-US" w:eastAsia="zh-CN"/>
        </w:rPr>
        <w:t>交通</w:t>
      </w:r>
      <w:r>
        <w:rPr>
          <w:rFonts w:hint="default" w:ascii="Times New Roman" w:hAnsi="Times New Roman" w:cs="Times New Roman"/>
          <w:lang w:eastAsia="zh-CN"/>
        </w:rPr>
        <w:t>网络，提升互联互通水平，促进物流、人流、信息流的高效流动。深化产业协同，重点在</w:t>
      </w:r>
      <w:r>
        <w:rPr>
          <w:rFonts w:hint="eastAsia" w:ascii="Times New Roman" w:hAnsi="Times New Roman" w:cs="Times New Roman"/>
          <w:lang w:val="en-US" w:eastAsia="zh-CN"/>
        </w:rPr>
        <w:t>化工新材料</w:t>
      </w:r>
      <w:r>
        <w:rPr>
          <w:rFonts w:hint="default" w:ascii="Times New Roman" w:hAnsi="Times New Roman" w:cs="Times New Roman"/>
          <w:lang w:val="en-US" w:eastAsia="zh-CN"/>
        </w:rPr>
        <w:t>、高端制造、低空经济、</w:t>
      </w:r>
      <w:r>
        <w:rPr>
          <w:rFonts w:hint="default" w:ascii="Times New Roman" w:hAnsi="Times New Roman" w:cs="Times New Roman"/>
          <w:lang w:eastAsia="zh-CN"/>
        </w:rPr>
        <w:t>新能源等领域开展合作，吸引区域优质资源落地，推动形成优势互补、互利共赢的产业发展格局。</w:t>
      </w:r>
      <w:r>
        <w:rPr>
          <w:rFonts w:hint="default" w:ascii="Times New Roman" w:hAnsi="Times New Roman" w:cs="Times New Roman"/>
          <w:bCs/>
          <w:sz w:val="32"/>
          <w:szCs w:val="32"/>
          <w:lang w:val="en-US" w:eastAsia="zh-CN"/>
        </w:rPr>
        <w:t>依托“薛城优品”“铁道游击队文旅”等特色资源，</w:t>
      </w:r>
      <w:r>
        <w:rPr>
          <w:rFonts w:hint="default" w:ascii="Times New Roman" w:hAnsi="Times New Roman" w:eastAsia="仿宋_GB2312" w:cs="Times New Roman"/>
          <w:color w:val="auto"/>
          <w:kern w:val="0"/>
          <w:sz w:val="32"/>
          <w:szCs w:val="32"/>
          <w:highlight w:val="none"/>
          <w:u w:val="none" w:color="auto"/>
          <w:lang w:val="en-US" w:eastAsia="zh-CN" w:bidi="ar"/>
        </w:rPr>
        <w:t>加强区域旅游资源和服务整合，协同开展文旅品牌宣传推广</w:t>
      </w:r>
      <w:r>
        <w:rPr>
          <w:rFonts w:hint="default" w:ascii="Times New Roman" w:hAnsi="Times New Roman" w:cs="Times New Roman"/>
          <w:color w:val="auto"/>
          <w:kern w:val="0"/>
          <w:sz w:val="32"/>
          <w:szCs w:val="32"/>
          <w:highlight w:val="none"/>
          <w:u w:val="none" w:color="auto"/>
          <w:lang w:val="en-US" w:eastAsia="zh-CN" w:bidi="ar"/>
        </w:rPr>
        <w:t>。</w:t>
      </w:r>
      <w:r>
        <w:rPr>
          <w:rFonts w:hint="default" w:ascii="Times New Roman" w:hAnsi="Times New Roman" w:eastAsia="仿宋_GB2312" w:cs="Times New Roman"/>
          <w:color w:val="auto"/>
          <w:kern w:val="0"/>
          <w:sz w:val="32"/>
          <w:szCs w:val="32"/>
          <w:highlight w:val="none"/>
          <w:u w:val="none" w:color="auto"/>
          <w:lang w:val="en-US" w:eastAsia="zh-CN" w:bidi="ar"/>
        </w:rPr>
        <w:t>高质量做好东西部协作</w:t>
      </w:r>
      <w:r>
        <w:rPr>
          <w:rFonts w:hint="default" w:ascii="Times New Roman" w:hAnsi="Times New Roman" w:cs="Times New Roman"/>
          <w:color w:val="auto"/>
          <w:kern w:val="0"/>
          <w:sz w:val="32"/>
          <w:szCs w:val="32"/>
          <w:highlight w:val="none"/>
          <w:u w:val="none" w:color="auto"/>
          <w:lang w:val="en-US" w:eastAsia="zh-CN" w:bidi="ar"/>
        </w:rPr>
        <w:t>，</w:t>
      </w:r>
      <w:r>
        <w:rPr>
          <w:rFonts w:hint="default" w:ascii="Times New Roman" w:hAnsi="Times New Roman" w:eastAsia="仿宋_GB2312" w:cs="Times New Roman"/>
          <w:color w:val="auto"/>
          <w:kern w:val="0"/>
          <w:sz w:val="32"/>
          <w:szCs w:val="32"/>
          <w:highlight w:val="none"/>
          <w:u w:val="none" w:color="auto"/>
          <w:lang w:val="en-US" w:eastAsia="zh-CN" w:bidi="ar"/>
        </w:rPr>
        <w:t>加强与</w:t>
      </w:r>
      <w:r>
        <w:rPr>
          <w:rFonts w:hint="default" w:ascii="Times New Roman" w:hAnsi="Times New Roman" w:cs="Times New Roman"/>
          <w:color w:val="auto"/>
          <w:kern w:val="0"/>
          <w:sz w:val="32"/>
          <w:szCs w:val="32"/>
          <w:highlight w:val="none"/>
          <w:u w:val="none" w:color="auto"/>
          <w:lang w:val="en-US" w:eastAsia="zh-CN" w:bidi="ar"/>
        </w:rPr>
        <w:t>丰都县及</w:t>
      </w:r>
      <w:r>
        <w:rPr>
          <w:rFonts w:hint="default" w:ascii="Times New Roman" w:hAnsi="Times New Roman" w:eastAsia="仿宋_GB2312" w:cs="Times New Roman"/>
          <w:color w:val="auto"/>
          <w:kern w:val="0"/>
          <w:sz w:val="32"/>
          <w:szCs w:val="32"/>
          <w:highlight w:val="none"/>
          <w:u w:val="none" w:color="auto"/>
          <w:lang w:val="en-US" w:eastAsia="zh-CN" w:bidi="ar"/>
        </w:rPr>
        <w:t>三建</w:t>
      </w:r>
      <w:r>
        <w:rPr>
          <w:rFonts w:hint="default" w:ascii="Times New Roman" w:hAnsi="Times New Roman" w:cs="Times New Roman"/>
          <w:color w:val="auto"/>
          <w:kern w:val="0"/>
          <w:sz w:val="32"/>
          <w:szCs w:val="32"/>
          <w:highlight w:val="none"/>
          <w:u w:val="none" w:color="auto"/>
          <w:lang w:val="en-US" w:eastAsia="zh-CN" w:bidi="ar"/>
        </w:rPr>
        <w:t>镇、暨龙镇、龙孔镇</w:t>
      </w:r>
      <w:r>
        <w:rPr>
          <w:rFonts w:hint="default" w:ascii="Times New Roman" w:hAnsi="Times New Roman" w:eastAsia="仿宋_GB2312" w:cs="Times New Roman"/>
          <w:color w:val="auto"/>
          <w:kern w:val="0"/>
          <w:sz w:val="32"/>
          <w:szCs w:val="32"/>
          <w:highlight w:val="none"/>
          <w:u w:val="none" w:color="auto"/>
          <w:lang w:val="en-US" w:eastAsia="zh-CN" w:bidi="ar"/>
        </w:rPr>
        <w:t>合作交流</w:t>
      </w:r>
      <w:r>
        <w:rPr>
          <w:rFonts w:hint="default" w:ascii="Times New Roman" w:hAnsi="Times New Roman" w:cs="Times New Roman"/>
          <w:color w:val="auto"/>
          <w:kern w:val="0"/>
          <w:sz w:val="32"/>
          <w:szCs w:val="32"/>
          <w:highlight w:val="none"/>
          <w:u w:val="none" w:color="auto"/>
          <w:lang w:val="en-US" w:eastAsia="zh-CN" w:bidi="ar"/>
        </w:rPr>
        <w:t>，在产业合作、人才交流、教育医疗等重点领域开展深度协作。主动对接京津冀、长三角、粤港澳大湾区，</w:t>
      </w:r>
      <w:r>
        <w:rPr>
          <w:rFonts w:hint="default" w:ascii="Times New Roman" w:hAnsi="Times New Roman" w:cs="Times New Roman"/>
          <w:lang w:eastAsia="zh-CN"/>
        </w:rPr>
        <w:t>精准承接产业链中高端环节和优质项目。加强与发达地区产业联盟、行业协会对接，建立项目信息共享、落地服务联动机制，提升产业转移承接实效。鼓励本地企业参与跨区域产业链分工，拓展外部市场空间，增强产业竞争力。</w:t>
      </w:r>
    </w:p>
    <w:p w14:paraId="7B44A761">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lang w:eastAsia="zh-CN"/>
        </w:rPr>
      </w:pPr>
      <w:r>
        <w:rPr>
          <w:rFonts w:hint="eastAsia" w:ascii="楷体_GB2312" w:hAnsi="楷体_GB2312" w:eastAsia="楷体_GB2312" w:cs="楷体_GB2312"/>
          <w:b w:val="0"/>
          <w:bCs w:val="0"/>
          <w:lang w:val="en-US" w:eastAsia="zh-CN"/>
        </w:rPr>
        <w:t>深化市域一体化联动。</w:t>
      </w:r>
      <w:r>
        <w:rPr>
          <w:rFonts w:hint="default" w:ascii="Times New Roman" w:hAnsi="Times New Roman" w:cs="Times New Roman"/>
          <w:lang w:eastAsia="zh-CN"/>
        </w:rPr>
        <w:t>立足薛城</w:t>
      </w:r>
      <w:r>
        <w:rPr>
          <w:rFonts w:hint="default" w:ascii="Times New Roman" w:hAnsi="Times New Roman" w:cs="Times New Roman"/>
          <w:lang w:val="en-US" w:eastAsia="zh-CN"/>
        </w:rPr>
        <w:t>主城区</w:t>
      </w:r>
      <w:r>
        <w:rPr>
          <w:rFonts w:hint="default" w:ascii="Times New Roman" w:hAnsi="Times New Roman" w:cs="Times New Roman"/>
          <w:lang w:eastAsia="zh-CN"/>
        </w:rPr>
        <w:t>核心区功能定位，强化与枣庄高新区、市中区等周边区县深度协同。产业</w:t>
      </w:r>
      <w:r>
        <w:rPr>
          <w:rFonts w:hint="default" w:ascii="Times New Roman" w:hAnsi="Times New Roman" w:cs="Times New Roman"/>
          <w:lang w:val="en-US" w:eastAsia="zh-CN"/>
        </w:rPr>
        <w:t>发展</w:t>
      </w:r>
      <w:r>
        <w:rPr>
          <w:rFonts w:hint="default" w:ascii="Times New Roman" w:hAnsi="Times New Roman" w:cs="Times New Roman"/>
          <w:lang w:eastAsia="zh-CN"/>
        </w:rPr>
        <w:t>层面，精准对接市级重大产业布局，在</w:t>
      </w:r>
      <w:r>
        <w:rPr>
          <w:rFonts w:hint="eastAsia" w:ascii="Times New Roman" w:hAnsi="Times New Roman" w:cs="Times New Roman"/>
          <w:kern w:val="21"/>
          <w:sz w:val="32"/>
          <w:szCs w:val="32"/>
          <w:lang w:val="en-US" w:eastAsia="zh-CN"/>
        </w:rPr>
        <w:t>化工新材料</w:t>
      </w:r>
      <w:r>
        <w:rPr>
          <w:rFonts w:hint="default" w:ascii="Times New Roman" w:hAnsi="Times New Roman" w:cs="Times New Roman"/>
          <w:lang w:eastAsia="zh-CN"/>
        </w:rPr>
        <w:t>、</w:t>
      </w:r>
      <w:r>
        <w:rPr>
          <w:rFonts w:hint="default" w:ascii="Times New Roman" w:hAnsi="Times New Roman" w:cs="Times New Roman"/>
          <w:lang w:val="en-US" w:eastAsia="zh-CN"/>
        </w:rPr>
        <w:t>高端装备、</w:t>
      </w:r>
      <w:r>
        <w:rPr>
          <w:rFonts w:hint="default" w:ascii="Times New Roman" w:hAnsi="Times New Roman" w:cs="Times New Roman"/>
          <w:lang w:eastAsia="zh-CN"/>
        </w:rPr>
        <w:t>新能源、低空经济等领域开展产业链配套协作，主动承接优质产业项目，推动上下游企业协同发展。</w:t>
      </w:r>
      <w:r>
        <w:rPr>
          <w:rFonts w:hint="default" w:ascii="Times New Roman" w:hAnsi="Times New Roman" w:cs="Times New Roman"/>
          <w:lang w:val="en-US" w:eastAsia="zh-CN"/>
        </w:rPr>
        <w:t>基础</w:t>
      </w:r>
      <w:r>
        <w:rPr>
          <w:rFonts w:hint="default" w:ascii="Times New Roman" w:hAnsi="Times New Roman" w:cs="Times New Roman"/>
          <w:lang w:eastAsia="zh-CN"/>
        </w:rPr>
        <w:t>设施层面，加快跨区域路网衔接等工程建设，打通新老城区融合通道，完善与周边区县的交通互联互通体系，提升区域物流通达效率。公共服务层面，推动优质教育、医疗、文旅资源跨区域共享，深化与周边区县的政务服务通办、民生保障联动，让群众共享一体化发展成果。</w:t>
      </w:r>
    </w:p>
    <w:p w14:paraId="185C476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lang w:val="en-US" w:eastAsia="zh-CN"/>
        </w:rPr>
      </w:pPr>
      <w:r>
        <w:rPr>
          <w:rFonts w:hint="eastAsia" w:ascii="楷体_GB2312" w:hAnsi="楷体_GB2312" w:eastAsia="楷体_GB2312" w:cs="楷体_GB2312"/>
          <w:b w:val="0"/>
          <w:bCs w:val="0"/>
          <w:lang w:val="en-US" w:eastAsia="zh-CN"/>
        </w:rPr>
        <w:t>推动</w:t>
      </w:r>
      <w:r>
        <w:rPr>
          <w:rFonts w:hint="eastAsia" w:ascii="楷体_GB2312" w:hAnsi="楷体_GB2312" w:eastAsia="楷体_GB2312" w:cs="楷体_GB2312"/>
          <w:b w:val="0"/>
          <w:bCs w:val="0"/>
          <w:lang w:eastAsia="zh-CN"/>
        </w:rPr>
        <w:t>镇域差异化</w:t>
      </w:r>
      <w:r>
        <w:rPr>
          <w:rFonts w:hint="eastAsia" w:ascii="楷体_GB2312" w:hAnsi="楷体_GB2312" w:eastAsia="楷体_GB2312" w:cs="楷体_GB2312"/>
          <w:b w:val="0"/>
          <w:bCs w:val="0"/>
          <w:lang w:val="en-US" w:eastAsia="zh-CN"/>
        </w:rPr>
        <w:t>发展</w:t>
      </w:r>
      <w:r>
        <w:rPr>
          <w:rFonts w:hint="eastAsia" w:ascii="楷体_GB2312" w:hAnsi="楷体_GB2312" w:eastAsia="楷体_GB2312" w:cs="楷体_GB2312"/>
          <w:b w:val="0"/>
          <w:bCs w:val="0"/>
          <w:lang w:eastAsia="zh-CN"/>
        </w:rPr>
        <w:t>。</w:t>
      </w:r>
      <w:r>
        <w:rPr>
          <w:rFonts w:hint="default" w:ascii="Times New Roman" w:hAnsi="Times New Roman" w:cs="Times New Roman"/>
          <w:lang w:val="en-US" w:eastAsia="zh-CN"/>
        </w:rPr>
        <w:t>立足各镇（街）资源禀赋、产业和区位优势，强化分类指导、精准施策，形成“城区引领、镇域支撑、特色鲜明”的发展格局。邹坞镇、陶庄镇聚焦</w:t>
      </w:r>
      <w:r>
        <w:rPr>
          <w:rFonts w:hint="eastAsia" w:ascii="Times New Roman" w:hAnsi="Times New Roman" w:cs="Times New Roman"/>
          <w:kern w:val="21"/>
          <w:sz w:val="32"/>
          <w:szCs w:val="32"/>
          <w:lang w:val="en-US" w:eastAsia="zh-CN"/>
        </w:rPr>
        <w:t>化工新材料</w:t>
      </w:r>
      <w:r>
        <w:rPr>
          <w:rFonts w:hint="default" w:ascii="Times New Roman" w:hAnsi="Times New Roman" w:cs="Times New Roman"/>
          <w:lang w:val="en-US" w:eastAsia="zh-CN"/>
        </w:rPr>
        <w:t>、装备制造等主导产业，推动产业链延链补链强链，加快传统工业转型升级，培育壮大新兴产业，打造工业强镇标杆。周营镇、沙沟镇依托特色农业资源，做强石榴、马铃薯等优势产业，发展农产品精深加工、乡村文旅、休闲农业等业态，打造农业特色镇和乡村振兴示范镇。临城街道、常庄街道、新城街道重点发展高端商贸、住宿餐饮、演艺赛事、金融服务等城市经济，提高公共管理与公共服务水平。强化镇域资源共享、产业互补、设施联通，推动镇域发展深度融入城区产业布局和区域协同格局，筑牢区域协调发展的基层支撑。</w:t>
      </w:r>
    </w:p>
    <w:p w14:paraId="2E2F12CD">
      <w:pPr>
        <w:pStyle w:val="18"/>
        <w:rPr>
          <w:rFonts w:hint="default"/>
          <w:lang w:val="en-US" w:eastAsia="zh-CN"/>
        </w:rPr>
      </w:pPr>
    </w:p>
    <w:tbl>
      <w:tblPr>
        <w:tblStyle w:val="1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7"/>
      </w:tblGrid>
      <w:tr w14:paraId="0B68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497" w:type="dxa"/>
            <w:noWrap w:val="0"/>
            <w:vAlign w:val="center"/>
          </w:tcPr>
          <w:p w14:paraId="72FE41D4">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00" w:lineRule="exact"/>
              <w:ind w:left="0" w:right="0" w:firstLine="0" w:firstLineChars="0"/>
              <w:jc w:val="center"/>
              <w:textAlignment w:val="auto"/>
              <w:rPr>
                <w:rFonts w:hint="default" w:ascii="Times New Roman" w:hAnsi="Times New Roman" w:eastAsia="黑体" w:cs="Times New Roman"/>
                <w:b w:val="0"/>
                <w:bCs w:val="0"/>
                <w:spacing w:val="0"/>
                <w:kern w:val="21"/>
                <w:sz w:val="28"/>
                <w:szCs w:val="28"/>
              </w:rPr>
            </w:pPr>
            <w:r>
              <w:rPr>
                <w:rFonts w:hint="default" w:ascii="Times New Roman" w:hAnsi="Times New Roman" w:eastAsia="黑体" w:cs="Times New Roman"/>
                <w:b w:val="0"/>
                <w:bCs w:val="0"/>
                <w:spacing w:val="0"/>
                <w:kern w:val="21"/>
                <w:sz w:val="28"/>
                <w:szCs w:val="28"/>
                <w:highlight w:val="none"/>
              </w:rPr>
              <w:t>专栏</w:t>
            </w:r>
            <w:r>
              <w:rPr>
                <w:rFonts w:hint="default" w:ascii="Times New Roman" w:hAnsi="Times New Roman" w:eastAsia="黑体" w:cs="Times New Roman"/>
                <w:b w:val="0"/>
                <w:bCs w:val="0"/>
                <w:spacing w:val="0"/>
                <w:kern w:val="21"/>
                <w:sz w:val="28"/>
                <w:szCs w:val="28"/>
                <w:highlight w:val="none"/>
                <w:lang w:val="en-US" w:eastAsia="zh-CN"/>
              </w:rPr>
              <w:t>2</w:t>
            </w:r>
            <w:r>
              <w:rPr>
                <w:rFonts w:hint="default" w:ascii="Times New Roman" w:hAnsi="Times New Roman" w:eastAsia="黑体" w:cs="Times New Roman"/>
                <w:b w:val="0"/>
                <w:bCs w:val="0"/>
                <w:spacing w:val="0"/>
                <w:kern w:val="21"/>
                <w:sz w:val="28"/>
                <w:szCs w:val="28"/>
              </w:rPr>
              <w:t>：</w:t>
            </w:r>
            <w:r>
              <w:rPr>
                <w:rFonts w:hint="default" w:ascii="Times New Roman" w:hAnsi="Times New Roman" w:eastAsia="黑体" w:cs="Times New Roman"/>
                <w:b w:val="0"/>
                <w:bCs w:val="0"/>
                <w:spacing w:val="0"/>
                <w:kern w:val="21"/>
                <w:sz w:val="28"/>
                <w:szCs w:val="28"/>
                <w:lang w:val="en-US" w:eastAsia="zh-CN"/>
              </w:rPr>
              <w:t>城市更新</w:t>
            </w:r>
            <w:r>
              <w:rPr>
                <w:rFonts w:hint="default" w:ascii="Times New Roman" w:hAnsi="Times New Roman" w:eastAsia="黑体" w:cs="Times New Roman"/>
                <w:b w:val="0"/>
                <w:bCs w:val="0"/>
                <w:spacing w:val="0"/>
                <w:kern w:val="21"/>
                <w:sz w:val="28"/>
                <w:szCs w:val="28"/>
              </w:rPr>
              <w:t>重点项目</w:t>
            </w:r>
          </w:p>
        </w:tc>
      </w:tr>
      <w:tr w14:paraId="2EA5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5" w:hRule="atLeast"/>
          <w:jc w:val="center"/>
        </w:trPr>
        <w:tc>
          <w:tcPr>
            <w:tcW w:w="8497" w:type="dxa"/>
            <w:noWrap w:val="0"/>
            <w:vAlign w:val="center"/>
          </w:tcPr>
          <w:p w14:paraId="510D91ED">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1.临山片区改造工程</w:t>
            </w:r>
          </w:p>
          <w:p w14:paraId="03805072">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2.四里石改造工程</w:t>
            </w:r>
          </w:p>
          <w:p w14:paraId="6B8DF9E2">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highlight w:val="none"/>
                <w:lang w:val="en-US" w:eastAsia="zh-CN"/>
              </w:rPr>
            </w:pPr>
            <w:r>
              <w:rPr>
                <w:rFonts w:hint="default" w:ascii="Times New Roman" w:hAnsi="Times New Roman" w:cs="Times New Roman"/>
                <w:b w:val="0"/>
                <w:bCs w:val="0"/>
                <w:spacing w:val="0"/>
                <w:kern w:val="21"/>
                <w:sz w:val="28"/>
                <w:szCs w:val="28"/>
                <w:highlight w:val="none"/>
                <w:lang w:val="en-US" w:eastAsia="zh-CN"/>
              </w:rPr>
              <w:t>3.西小社区改造工程</w:t>
            </w:r>
          </w:p>
          <w:p w14:paraId="247A839F">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4.东巨山改造工程</w:t>
            </w:r>
          </w:p>
          <w:p w14:paraId="43BD953A">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5.曹沃村改造工程</w:t>
            </w:r>
          </w:p>
          <w:p w14:paraId="38F4154D">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6.古井棚户区改造工程</w:t>
            </w:r>
          </w:p>
          <w:p w14:paraId="0D998CE7">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7.来泉片区城市更新项目</w:t>
            </w:r>
          </w:p>
          <w:p w14:paraId="0F89C0B4">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8.“两高”片区城市更新项目</w:t>
            </w:r>
          </w:p>
          <w:p w14:paraId="2BF00493">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9.高楼片区城市更新项目</w:t>
            </w:r>
          </w:p>
          <w:p w14:paraId="4C11A1BF">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10.韩龙山片区城市更新项目</w:t>
            </w:r>
          </w:p>
          <w:p w14:paraId="47235773">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11.临城片区老旧小区改造项目</w:t>
            </w:r>
          </w:p>
          <w:p w14:paraId="50BA875B">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12.常庄片区老旧小区改造项目</w:t>
            </w:r>
          </w:p>
          <w:p w14:paraId="70323C45">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13.新城片区老旧小区改造项目</w:t>
            </w:r>
          </w:p>
          <w:p w14:paraId="29930636">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14.市中医院西院区多功能商业街区配套项目</w:t>
            </w:r>
          </w:p>
          <w:p w14:paraId="3B3A7E68">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15.薛城区铁西片区等环境能源综合应用及配套供热管网项目</w:t>
            </w:r>
          </w:p>
          <w:p w14:paraId="3C66CDF1">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16.薛周路、济安路、学苑路等城市路网建设项目</w:t>
            </w:r>
          </w:p>
          <w:p w14:paraId="69CEF8A5">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17.枣庄新城东部片区综合管廊项目</w:t>
            </w:r>
          </w:p>
          <w:p w14:paraId="5AA28160">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18.薛城区长江路等燃气管网及设施改造等项目</w:t>
            </w:r>
          </w:p>
          <w:p w14:paraId="7671A212">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19.薛城区天然气气源保障和市场扩展项目</w:t>
            </w:r>
          </w:p>
          <w:p w14:paraId="6EE20CEC">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20.薛城区集中供热珠江路</w:t>
            </w:r>
            <w:r>
              <w:rPr>
                <w:rFonts w:hint="eastAsia" w:ascii="Times New Roman" w:hAnsi="Times New Roman" w:cs="Times New Roman"/>
                <w:b w:val="0"/>
                <w:bCs w:val="0"/>
                <w:spacing w:val="0"/>
                <w:kern w:val="21"/>
                <w:sz w:val="28"/>
                <w:szCs w:val="28"/>
                <w:lang w:val="en-US" w:eastAsia="zh-CN"/>
              </w:rPr>
              <w:t>—</w:t>
            </w:r>
            <w:r>
              <w:rPr>
                <w:rFonts w:hint="default" w:ascii="Times New Roman" w:hAnsi="Times New Roman" w:cs="Times New Roman"/>
                <w:b w:val="0"/>
                <w:bCs w:val="0"/>
                <w:spacing w:val="0"/>
                <w:kern w:val="21"/>
                <w:sz w:val="28"/>
                <w:szCs w:val="28"/>
                <w:lang w:val="en-US" w:eastAsia="zh-CN"/>
              </w:rPr>
              <w:t>长江路段等管网及设施更新改造</w:t>
            </w:r>
          </w:p>
          <w:p w14:paraId="292AFEBD">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21.薛城区智慧供热管理项目</w:t>
            </w:r>
          </w:p>
        </w:tc>
      </w:tr>
    </w:tbl>
    <w:p w14:paraId="7874D95C">
      <w:pPr>
        <w:ind w:left="0" w:leftChars="0" w:firstLine="0" w:firstLineChars="0"/>
        <w:rPr>
          <w:rFonts w:hint="default" w:ascii="Times New Roman" w:hAnsi="Times New Roman" w:cs="Times New Roman"/>
          <w:bCs/>
          <w:sz w:val="32"/>
          <w:szCs w:val="32"/>
          <w:lang w:val="en-US" w:eastAsia="zh-CN"/>
        </w:rPr>
      </w:pPr>
    </w:p>
    <w:p w14:paraId="7F5C67F6">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0" w:firstLineChars="0"/>
        <w:jc w:val="center"/>
        <w:textAlignment w:val="auto"/>
        <w:outlineLvl w:val="0"/>
        <w:rPr>
          <w:rFonts w:hint="default" w:ascii="Times New Roman" w:hAnsi="Times New Roman" w:cs="Times New Roman"/>
          <w:kern w:val="21"/>
          <w:sz w:val="32"/>
          <w:szCs w:val="32"/>
          <w:lang w:val="en-US" w:eastAsia="zh-CN"/>
        </w:rPr>
      </w:pPr>
      <w:bookmarkStart w:id="29" w:name="_Toc37403421"/>
      <w:r>
        <w:rPr>
          <w:rFonts w:hint="eastAsia" w:ascii="黑体" w:hAnsi="黑体" w:eastAsia="黑体" w:cs="黑体"/>
          <w:b w:val="0"/>
          <w:bCs/>
          <w:kern w:val="21"/>
          <w:sz w:val="32"/>
          <w:szCs w:val="32"/>
          <w:lang w:val="en-US" w:eastAsia="zh-CN"/>
        </w:rPr>
        <w:t>第五章  强化科技创新驱动，激活高质量发展动能</w:t>
      </w:r>
      <w:bookmarkEnd w:id="29"/>
    </w:p>
    <w:p w14:paraId="47128BBA">
      <w:pPr>
        <w:keepNext w:val="0"/>
        <w:keepLines w:val="0"/>
        <w:pageBreakBefore w:val="0"/>
        <w:widowControl w:val="0"/>
        <w:kinsoku/>
        <w:wordWrap/>
        <w:overflowPunct/>
        <w:topLinePunct w:val="0"/>
        <w:autoSpaceDE/>
        <w:autoSpaceDN/>
        <w:bidi w:val="0"/>
        <w:adjustRightInd/>
        <w:snapToGrid/>
        <w:spacing w:before="313" w:beforeLines="100" w:line="580"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突出抓好企业创新主体培育、创新平台建设、创新人才引育、创新生态优化、数字强区建设，加快推动科技创新和产业创新融合，不断催生新质生产力，增强高质量发展内驱动力。“十五五”末，全社会研发经费支出占GDP比重提升至2%左右，规上工业企业研发经费支出占营业收入比重达到2%以上。</w:t>
      </w:r>
    </w:p>
    <w:p w14:paraId="4162BA4E">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30" w:name="_Toc1886268087"/>
      <w:r>
        <w:rPr>
          <w:rFonts w:hint="eastAsia" w:ascii="楷体_GB2312" w:hAnsi="楷体_GB2312" w:eastAsia="楷体_GB2312" w:cs="楷体_GB2312"/>
          <w:kern w:val="21"/>
          <w:sz w:val="32"/>
          <w:szCs w:val="32"/>
          <w:highlight w:val="none"/>
          <w:lang w:val="en-US" w:eastAsia="zh-CN"/>
        </w:rPr>
        <w:t>第一节  强化企业创新主体地位</w:t>
      </w:r>
      <w:bookmarkEnd w:id="30"/>
    </w:p>
    <w:p w14:paraId="120D48F7">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val="en-US" w:eastAsia="zh-CN"/>
        </w:rPr>
      </w:pPr>
      <w:r>
        <w:rPr>
          <w:rFonts w:hint="default" w:ascii="Times New Roman" w:hAnsi="Times New Roman" w:cs="Times New Roman"/>
          <w:kern w:val="21"/>
          <w:sz w:val="32"/>
          <w:szCs w:val="32"/>
          <w:lang w:val="en-US" w:eastAsia="zh-CN"/>
        </w:rPr>
        <w:t>聚焦梯度培育、研发赋能、协同创新三大方向，全面激活企业创新活力，以企业创新带动产业升级。</w:t>
      </w:r>
    </w:p>
    <w:p w14:paraId="0A7F494D">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val="en-US" w:eastAsia="zh-CN"/>
        </w:rPr>
      </w:pPr>
      <w:r>
        <w:rPr>
          <w:rFonts w:hint="eastAsia" w:ascii="楷体_GB2312" w:hAnsi="楷体_GB2312" w:eastAsia="楷体_GB2312" w:cs="楷体_GB2312"/>
          <w:b w:val="0"/>
          <w:bCs w:val="0"/>
          <w:lang w:val="en-US" w:eastAsia="zh-CN"/>
        </w:rPr>
        <w:t>梯次培育科技型企业。</w:t>
      </w:r>
      <w:r>
        <w:rPr>
          <w:rFonts w:hint="default" w:ascii="Times New Roman" w:hAnsi="Times New Roman" w:cs="Times New Roman"/>
          <w:kern w:val="21"/>
          <w:sz w:val="32"/>
          <w:szCs w:val="32"/>
          <w:lang w:val="en-US" w:eastAsia="zh-CN"/>
        </w:rPr>
        <w:t>聚焦</w:t>
      </w:r>
      <w:r>
        <w:rPr>
          <w:rFonts w:hint="eastAsia" w:ascii="Times New Roman" w:hAnsi="Times New Roman" w:cs="Times New Roman"/>
          <w:kern w:val="21"/>
          <w:sz w:val="32"/>
          <w:szCs w:val="32"/>
          <w:lang w:val="en-US" w:eastAsia="zh-CN"/>
        </w:rPr>
        <w:t>化工新材料</w:t>
      </w:r>
      <w:r>
        <w:rPr>
          <w:rFonts w:hint="default" w:ascii="Times New Roman" w:hAnsi="Times New Roman" w:cs="Times New Roman"/>
          <w:kern w:val="21"/>
          <w:sz w:val="32"/>
          <w:szCs w:val="32"/>
          <w:lang w:val="en-US" w:eastAsia="zh-CN"/>
        </w:rPr>
        <w:t>、高端装备、低空经济、新能源等核心领域，构建“初创企业孵化—科技型中小企业成长—高新技术企业跃升”的梯度培育体系。</w:t>
      </w:r>
      <w:r>
        <w:rPr>
          <w:rFonts w:hint="default" w:ascii="Times New Roman" w:hAnsi="Times New Roman" w:cs="Times New Roman"/>
          <w:kern w:val="21"/>
          <w:sz w:val="32"/>
          <w:szCs w:val="32"/>
          <w:highlight w:val="none"/>
          <w:lang w:val="en-US" w:eastAsia="zh-CN"/>
        </w:rPr>
        <w:t>强化科技型企业培育，完善“申报培育—政策支持—跟踪服务”全流程机制，加速科技成果落地转化，培育科技型中小企业、高新技术企业。围绕产业链细分赛道，支持骨干企业申报省级以上“专精特新”企业、制造业单项冠军，培育一批聚焦核心业务、具备核心竞争力的优质标杆企业。</w:t>
      </w:r>
    </w:p>
    <w:p w14:paraId="559F8F25">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color w:val="auto"/>
          <w:sz w:val="32"/>
          <w:szCs w:val="32"/>
          <w:highlight w:val="none"/>
          <w:u w:val="none" w:color="auto"/>
          <w:lang w:bidi="ar"/>
        </w:rPr>
      </w:pPr>
      <w:r>
        <w:rPr>
          <w:rFonts w:hint="eastAsia" w:ascii="楷体_GB2312" w:hAnsi="楷体_GB2312" w:eastAsia="楷体_GB2312" w:cs="楷体_GB2312"/>
          <w:b w:val="0"/>
          <w:bCs w:val="0"/>
          <w:lang w:val="en-US" w:eastAsia="zh-CN"/>
        </w:rPr>
        <w:t>促进企业融通创新。</w:t>
      </w:r>
      <w:r>
        <w:rPr>
          <w:rFonts w:hint="default" w:ascii="Times New Roman" w:hAnsi="Times New Roman" w:cs="Times New Roman"/>
          <w:kern w:val="21"/>
          <w:sz w:val="32"/>
          <w:szCs w:val="32"/>
          <w:lang w:val="en-US" w:eastAsia="zh-CN"/>
        </w:rPr>
        <w:t>推动创新资源开放共享，</w:t>
      </w:r>
      <w:r>
        <w:rPr>
          <w:rFonts w:hint="default" w:ascii="Times New Roman" w:hAnsi="Times New Roman" w:eastAsia="仿宋_GB2312" w:cs="Times New Roman"/>
          <w:color w:val="auto"/>
          <w:sz w:val="32"/>
          <w:szCs w:val="32"/>
          <w:highlight w:val="none"/>
          <w:u w:val="none" w:color="auto"/>
          <w:lang w:bidi="ar"/>
        </w:rPr>
        <w:t>引导大型企业面向中小企业开放创新资源和应用场景，构建科技成果供应与产业技术需求双向通道</w:t>
      </w:r>
      <w:r>
        <w:rPr>
          <w:rFonts w:hint="default" w:ascii="Times New Roman" w:hAnsi="Times New Roman" w:cs="Times New Roman"/>
          <w:kern w:val="21"/>
          <w:sz w:val="32"/>
          <w:szCs w:val="32"/>
          <w:lang w:val="en-US" w:eastAsia="zh-CN"/>
        </w:rPr>
        <w:t>，</w:t>
      </w:r>
      <w:r>
        <w:rPr>
          <w:rFonts w:hint="default" w:ascii="Times New Roman" w:hAnsi="Times New Roman" w:eastAsia="仿宋_GB2312" w:cs="Times New Roman"/>
          <w:color w:val="auto"/>
          <w:sz w:val="32"/>
          <w:szCs w:val="32"/>
          <w:highlight w:val="none"/>
          <w:u w:val="none" w:color="auto"/>
          <w:lang w:bidi="ar"/>
        </w:rPr>
        <w:t>盘活用好科研基础设施及仪器设备等各类资源要素，</w:t>
      </w:r>
      <w:r>
        <w:rPr>
          <w:rFonts w:hint="default" w:ascii="Times New Roman" w:hAnsi="Times New Roman" w:cs="Times New Roman"/>
          <w:kern w:val="21"/>
          <w:sz w:val="32"/>
          <w:szCs w:val="32"/>
          <w:lang w:val="en-US" w:eastAsia="zh-CN"/>
        </w:rPr>
        <w:t>促进创新资源高效配置。发挥链主企业引领作用，支持潍焦薛能、中科智能、夫宇食品等龙头企业牵头，联合上下游配套企业、高校院所组建产业链创新联合体，围绕共性技术攻关、标准制定、资源共享等开展协同合作。</w:t>
      </w:r>
    </w:p>
    <w:p w14:paraId="07C190E2">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val="en-US" w:eastAsia="zh-CN"/>
        </w:rPr>
      </w:pPr>
      <w:r>
        <w:rPr>
          <w:rFonts w:hint="eastAsia" w:ascii="楷体_GB2312" w:hAnsi="楷体_GB2312" w:eastAsia="楷体_GB2312" w:cs="楷体_GB2312"/>
          <w:b w:val="0"/>
          <w:bCs w:val="0"/>
          <w:lang w:val="en-US" w:eastAsia="zh-CN"/>
        </w:rPr>
        <w:t>推动创新资源向企业集聚。</w:t>
      </w:r>
      <w:r>
        <w:rPr>
          <w:rFonts w:hint="default" w:ascii="Times New Roman" w:hAnsi="Times New Roman" w:eastAsia="仿宋_GB2312" w:cs="Times New Roman"/>
          <w:color w:val="auto"/>
          <w:sz w:val="32"/>
          <w:szCs w:val="32"/>
          <w:highlight w:val="none"/>
          <w:u w:val="none" w:color="auto"/>
          <w:lang w:bidi="ar"/>
        </w:rPr>
        <w:t>持续加大财政科技投入，强化惠企创新政策落实，</w:t>
      </w:r>
      <w:r>
        <w:rPr>
          <w:rFonts w:hint="default" w:ascii="Times New Roman" w:hAnsi="Times New Roman" w:cs="Times New Roman"/>
          <w:kern w:val="21"/>
          <w:sz w:val="32"/>
          <w:szCs w:val="32"/>
          <w:lang w:val="en-US" w:eastAsia="zh-CN"/>
        </w:rPr>
        <w:t>落实研发费用加计扣除等政策。</w:t>
      </w:r>
      <w:r>
        <w:rPr>
          <w:rFonts w:hint="default" w:ascii="Times New Roman" w:hAnsi="Times New Roman" w:eastAsia="仿宋_GB2312" w:cs="Times New Roman"/>
          <w:color w:val="auto"/>
          <w:kern w:val="2"/>
          <w:sz w:val="32"/>
          <w:szCs w:val="32"/>
          <w:highlight w:val="none"/>
          <w:u w:val="none" w:color="auto"/>
          <w:lang w:bidi="ar"/>
        </w:rPr>
        <w:t>发挥政府采购支持科技创新政策功能，支持企业开展首台（套）产品研发和首台（套）技术装备及关键核心零部件推广应用。</w:t>
      </w:r>
      <w:r>
        <w:rPr>
          <w:rFonts w:hint="default" w:ascii="Times New Roman" w:hAnsi="Times New Roman" w:cs="Times New Roman"/>
          <w:kern w:val="21"/>
          <w:sz w:val="32"/>
          <w:szCs w:val="32"/>
          <w:lang w:val="en-US" w:eastAsia="zh-CN"/>
        </w:rPr>
        <w:t>鼓励企业将研发资源向关键核心技术攻关、中试转化、成果产业化倾斜，力争“十五五”期间全社会研发经费总额年均增长10%左右。</w:t>
      </w:r>
    </w:p>
    <w:p w14:paraId="636773CD">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31" w:name="_Toc1891596826"/>
      <w:r>
        <w:rPr>
          <w:rFonts w:hint="eastAsia" w:ascii="楷体_GB2312" w:hAnsi="楷体_GB2312" w:eastAsia="楷体_GB2312" w:cs="楷体_GB2312"/>
          <w:kern w:val="21"/>
          <w:sz w:val="32"/>
          <w:szCs w:val="32"/>
          <w:highlight w:val="none"/>
          <w:lang w:val="en-US" w:eastAsia="zh-CN"/>
        </w:rPr>
        <w:t>第二节  健全创新平台体系</w:t>
      </w:r>
      <w:bookmarkEnd w:id="31"/>
    </w:p>
    <w:p w14:paraId="621DF094">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val="en-US" w:eastAsia="zh-CN"/>
        </w:rPr>
      </w:pPr>
      <w:r>
        <w:rPr>
          <w:rFonts w:hint="default" w:ascii="Times New Roman" w:hAnsi="Times New Roman" w:cs="Times New Roman"/>
          <w:kern w:val="21"/>
          <w:sz w:val="32"/>
          <w:szCs w:val="32"/>
          <w:lang w:val="en-US" w:eastAsia="zh-CN"/>
        </w:rPr>
        <w:t>坚持产业导向、协同高效原则，构建特色平台引领、产学研联动的多层次创新平台体系，为科技创新提供坚实硬件支撑。</w:t>
      </w:r>
    </w:p>
    <w:p w14:paraId="0AB57A2D">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val="en-US" w:eastAsia="zh-CN"/>
        </w:rPr>
      </w:pPr>
      <w:r>
        <w:rPr>
          <w:rFonts w:hint="eastAsia" w:ascii="楷体_GB2312" w:hAnsi="楷体_GB2312" w:eastAsia="楷体_GB2312" w:cs="楷体_GB2312"/>
          <w:b w:val="0"/>
          <w:bCs w:val="0"/>
          <w:lang w:val="en-US" w:eastAsia="zh-CN"/>
        </w:rPr>
        <w:t>推动创新平台提档升级。</w:t>
      </w:r>
      <w:r>
        <w:rPr>
          <w:rFonts w:hint="default" w:ascii="Times New Roman" w:hAnsi="Times New Roman" w:eastAsia="仿宋_GB2312" w:cs="Times New Roman"/>
          <w:color w:val="auto"/>
          <w:sz w:val="32"/>
          <w:szCs w:val="32"/>
          <w:highlight w:val="none"/>
          <w:u w:val="none" w:color="auto"/>
          <w:lang w:bidi="ar"/>
        </w:rPr>
        <w:t>发挥中科绿碳省级中试基地</w:t>
      </w:r>
      <w:r>
        <w:rPr>
          <w:rFonts w:hint="default" w:ascii="Times New Roman" w:hAnsi="Times New Roman" w:cs="Times New Roman"/>
          <w:color w:val="auto"/>
          <w:sz w:val="32"/>
          <w:szCs w:val="32"/>
          <w:highlight w:val="none"/>
          <w:u w:val="none" w:color="auto"/>
          <w:lang w:eastAsia="zh-CN" w:bidi="ar"/>
        </w:rPr>
        <w:t>、</w:t>
      </w:r>
      <w:r>
        <w:rPr>
          <w:rFonts w:hint="default" w:ascii="Times New Roman" w:hAnsi="Times New Roman" w:eastAsia="仿宋_GB2312" w:cs="Times New Roman"/>
          <w:color w:val="auto"/>
          <w:sz w:val="32"/>
          <w:szCs w:val="32"/>
          <w:highlight w:val="none"/>
          <w:u w:val="none" w:color="auto"/>
          <w:lang w:bidi="ar"/>
        </w:rPr>
        <w:t>高端醋酸酐绿色制造工程研究中心等</w:t>
      </w:r>
      <w:r>
        <w:rPr>
          <w:rFonts w:hint="default" w:ascii="Times New Roman" w:hAnsi="Times New Roman" w:cs="Times New Roman"/>
          <w:color w:val="auto"/>
          <w:sz w:val="32"/>
          <w:szCs w:val="32"/>
          <w:highlight w:val="none"/>
          <w:u w:val="none" w:color="auto"/>
          <w:lang w:val="en-US" w:eastAsia="zh-CN" w:bidi="ar"/>
        </w:rPr>
        <w:t>15个省级以上创新平台</w:t>
      </w:r>
      <w:r>
        <w:rPr>
          <w:rFonts w:hint="default" w:ascii="Times New Roman" w:hAnsi="Times New Roman" w:eastAsia="仿宋_GB2312" w:cs="Times New Roman"/>
          <w:color w:val="auto"/>
          <w:sz w:val="32"/>
          <w:szCs w:val="32"/>
          <w:highlight w:val="none"/>
          <w:u w:val="none" w:color="auto"/>
          <w:lang w:bidi="ar"/>
        </w:rPr>
        <w:t>作用，</w:t>
      </w:r>
      <w:r>
        <w:rPr>
          <w:rFonts w:hint="default" w:ascii="Times New Roman" w:hAnsi="Times New Roman" w:cs="Times New Roman"/>
          <w:color w:val="auto"/>
          <w:sz w:val="32"/>
          <w:szCs w:val="32"/>
          <w:highlight w:val="none"/>
          <w:u w:val="none" w:color="auto"/>
          <w:lang w:val="en-US" w:eastAsia="zh-CN" w:bidi="ar"/>
        </w:rPr>
        <w:t>规范平台管理，推动提档升级，</w:t>
      </w:r>
      <w:r>
        <w:rPr>
          <w:rFonts w:hint="default" w:ascii="Times New Roman" w:hAnsi="Times New Roman" w:eastAsia="仿宋_GB2312" w:cs="Times New Roman"/>
          <w:color w:val="auto"/>
          <w:sz w:val="32"/>
          <w:szCs w:val="32"/>
          <w:highlight w:val="none"/>
          <w:u w:val="none" w:color="auto"/>
          <w:lang w:bidi="ar"/>
        </w:rPr>
        <w:t>完善多元化、立体式孵化体系，牵头承担重大科技任务，促进科技成果落地转化</w:t>
      </w:r>
      <w:r>
        <w:rPr>
          <w:rFonts w:hint="default" w:ascii="Times New Roman" w:hAnsi="Times New Roman" w:cs="Times New Roman"/>
          <w:color w:val="auto"/>
          <w:sz w:val="32"/>
          <w:szCs w:val="32"/>
          <w:highlight w:val="none"/>
          <w:u w:val="none" w:color="auto"/>
          <w:lang w:val="en-US" w:eastAsia="zh-CN" w:bidi="ar"/>
        </w:rPr>
        <w:t>，提升平台对产业发展的支撑能力。建设</w:t>
      </w:r>
      <w:r>
        <w:rPr>
          <w:rFonts w:hint="default" w:ascii="Times New Roman" w:hAnsi="Times New Roman" w:cs="Times New Roman"/>
          <w:kern w:val="21"/>
          <w:sz w:val="32"/>
          <w:szCs w:val="32"/>
          <w:lang w:val="en-US" w:eastAsia="zh-CN"/>
        </w:rPr>
        <w:t>高能级创新载体，整合高校院所、龙头企业创新资源，联合申报省级重点实验室、技术创新中心。“十五五”期间，新增市级以上创新平台10家，区域创新能级显著提升。</w:t>
      </w:r>
    </w:p>
    <w:p w14:paraId="32C39199">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val="en-US" w:eastAsia="zh-CN"/>
        </w:rPr>
      </w:pPr>
      <w:r>
        <w:rPr>
          <w:rFonts w:hint="eastAsia" w:ascii="楷体_GB2312" w:hAnsi="楷体_GB2312" w:eastAsia="楷体_GB2312" w:cs="楷体_GB2312"/>
          <w:b w:val="0"/>
          <w:bCs w:val="0"/>
          <w:lang w:val="en-US" w:eastAsia="zh-CN"/>
        </w:rPr>
        <w:t>搭建产学研协同创新平台。</w:t>
      </w:r>
      <w:r>
        <w:rPr>
          <w:rFonts w:hint="default" w:ascii="Times New Roman" w:hAnsi="Times New Roman" w:cs="Times New Roman"/>
          <w:b w:val="0"/>
          <w:bCs w:val="0"/>
          <w:kern w:val="21"/>
          <w:sz w:val="32"/>
          <w:szCs w:val="32"/>
          <w:lang w:val="en-US" w:eastAsia="zh-CN"/>
        </w:rPr>
        <w:t>鼓励</w:t>
      </w:r>
      <w:r>
        <w:rPr>
          <w:rFonts w:hint="default" w:ascii="Times New Roman" w:hAnsi="Times New Roman" w:cs="Times New Roman"/>
          <w:kern w:val="21"/>
          <w:sz w:val="32"/>
          <w:szCs w:val="32"/>
          <w:lang w:val="en-US" w:eastAsia="zh-CN"/>
        </w:rPr>
        <w:t>共建校企联合研发中心，支持中科智能、潍焦薛能等龙头企业与高校院所共建联合研发中心，围绕智能电力装备、化工新材料、低空飞控系统等领域开展定向攻关。推动校企共建产业实训基地，推行“定向攻关+人才共育”模式，实现“研发—人才—产业”一体化衔接。构建跨区域协同机制，主动对接省内外高端创新资源，引进科研院所分支机构或中试基地，借力外部智力支撑与技术成果。积极参与区域性创新联盟，深化与京津冀、长三角等创新高地的合作交流，推动创新平台与产业链深度融合，提升区域创新整体效能。</w:t>
      </w:r>
    </w:p>
    <w:p w14:paraId="13A2627D">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highlight w:val="none"/>
          <w:lang w:val="en-US" w:eastAsia="zh-CN"/>
        </w:rPr>
      </w:pPr>
      <w:r>
        <w:rPr>
          <w:rFonts w:hint="eastAsia" w:ascii="楷体_GB2312" w:hAnsi="楷体_GB2312" w:eastAsia="楷体_GB2312" w:cs="楷体_GB2312"/>
          <w:b w:val="0"/>
          <w:bCs w:val="0"/>
          <w:lang w:val="en-US" w:eastAsia="zh-CN"/>
        </w:rPr>
        <w:t>强化关键核心技术攻关。</w:t>
      </w:r>
      <w:r>
        <w:rPr>
          <w:rFonts w:hint="default" w:ascii="Times New Roman" w:hAnsi="Times New Roman" w:cs="Times New Roman"/>
          <w:kern w:val="21"/>
          <w:sz w:val="32"/>
          <w:szCs w:val="32"/>
          <w:highlight w:val="none"/>
          <w:lang w:val="en-US" w:eastAsia="zh-CN"/>
        </w:rPr>
        <w:t>聚焦产业发展需求，“以产定研”支持企业、高校、科研院所协同攻关。</w:t>
      </w:r>
      <w:r>
        <w:rPr>
          <w:rFonts w:hint="default" w:ascii="Times New Roman" w:hAnsi="Times New Roman" w:cs="Times New Roman"/>
          <w:kern w:val="21"/>
          <w:sz w:val="32"/>
          <w:szCs w:val="32"/>
          <w:lang w:val="en-US" w:eastAsia="zh-CN"/>
        </w:rPr>
        <w:t>打造产业化承接载体，依托薛城化工产业园、薛城经济开发区，建设公共测试平台、标准化厂房，配套电力、通讯、环保等基础设施，为化工新材料、低空经济核心部件、高端装备精密组件等提供产业化配套服务。</w:t>
      </w:r>
      <w:r>
        <w:rPr>
          <w:rFonts w:hint="default" w:ascii="Times New Roman" w:hAnsi="Times New Roman" w:cs="Times New Roman"/>
          <w:kern w:val="21"/>
          <w:sz w:val="32"/>
          <w:szCs w:val="32"/>
          <w:highlight w:val="none"/>
          <w:lang w:val="en-US" w:eastAsia="zh-CN"/>
        </w:rPr>
        <w:t>“十五五”期间，申报市级科技计划项目10项以上，省级以上科技计划</w:t>
      </w:r>
      <w:r>
        <w:rPr>
          <w:rFonts w:hint="eastAsia" w:ascii="Times New Roman" w:hAnsi="Times New Roman" w:cs="Times New Roman"/>
          <w:kern w:val="21"/>
          <w:sz w:val="32"/>
          <w:szCs w:val="32"/>
          <w:highlight w:val="none"/>
          <w:lang w:val="en-US" w:eastAsia="zh-CN"/>
        </w:rPr>
        <w:t>5</w:t>
      </w:r>
      <w:r>
        <w:rPr>
          <w:rFonts w:hint="default" w:ascii="Times New Roman" w:hAnsi="Times New Roman" w:cs="Times New Roman"/>
          <w:kern w:val="21"/>
          <w:sz w:val="32"/>
          <w:szCs w:val="32"/>
          <w:highlight w:val="none"/>
          <w:lang w:val="en-US" w:eastAsia="zh-CN"/>
        </w:rPr>
        <w:t>项以上。</w:t>
      </w:r>
    </w:p>
    <w:p w14:paraId="158A4FC9">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32" w:name="_Toc875071192"/>
      <w:r>
        <w:rPr>
          <w:rFonts w:hint="eastAsia" w:ascii="楷体_GB2312" w:hAnsi="楷体_GB2312" w:eastAsia="楷体_GB2312" w:cs="楷体_GB2312"/>
          <w:kern w:val="21"/>
          <w:sz w:val="32"/>
          <w:szCs w:val="32"/>
          <w:highlight w:val="none"/>
          <w:lang w:val="en-US" w:eastAsia="zh-CN"/>
        </w:rPr>
        <w:t>第三节  实施人才强区战略</w:t>
      </w:r>
      <w:bookmarkEnd w:id="32"/>
    </w:p>
    <w:p w14:paraId="03C0246A">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eastAsia="zh-CN"/>
        </w:rPr>
      </w:pPr>
      <w:r>
        <w:rPr>
          <w:rFonts w:hint="default" w:ascii="Times New Roman" w:hAnsi="Times New Roman" w:cs="Times New Roman"/>
          <w:kern w:val="21"/>
          <w:sz w:val="32"/>
          <w:szCs w:val="32"/>
          <w:lang w:eastAsia="zh-CN"/>
        </w:rPr>
        <w:t>坚持引育并举，构建精准引才、本土育才全链条人才工作体系，为科技创新注入持久动力。</w:t>
      </w:r>
    </w:p>
    <w:p w14:paraId="2C04D552">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eastAsia="zh-CN"/>
        </w:rPr>
      </w:pPr>
      <w:r>
        <w:rPr>
          <w:rFonts w:hint="eastAsia" w:ascii="楷体_GB2312" w:hAnsi="楷体_GB2312" w:eastAsia="楷体_GB2312" w:cs="楷体_GB2312"/>
          <w:b w:val="0"/>
          <w:bCs w:val="0"/>
          <w:lang w:val="en-US" w:eastAsia="zh-CN"/>
        </w:rPr>
        <w:t>精准引进高层次创新人才。</w:t>
      </w:r>
      <w:r>
        <w:rPr>
          <w:rFonts w:hint="default" w:ascii="Times New Roman" w:hAnsi="Times New Roman" w:cs="Times New Roman"/>
          <w:kern w:val="21"/>
          <w:sz w:val="32"/>
          <w:szCs w:val="32"/>
          <w:lang w:eastAsia="zh-CN"/>
        </w:rPr>
        <w:t>聚焦产业靶向引才，围绕</w:t>
      </w:r>
      <w:r>
        <w:rPr>
          <w:rFonts w:hint="eastAsia" w:ascii="Times New Roman" w:hAnsi="Times New Roman" w:cs="Times New Roman"/>
          <w:kern w:val="21"/>
          <w:sz w:val="32"/>
          <w:szCs w:val="32"/>
          <w:lang w:val="en-US" w:eastAsia="zh-CN"/>
        </w:rPr>
        <w:t>化工新材料</w:t>
      </w:r>
      <w:r>
        <w:rPr>
          <w:rFonts w:hint="default" w:ascii="Times New Roman" w:hAnsi="Times New Roman" w:cs="Times New Roman"/>
          <w:kern w:val="21"/>
          <w:sz w:val="32"/>
          <w:szCs w:val="32"/>
          <w:lang w:eastAsia="zh-CN"/>
        </w:rPr>
        <w:t>、低空经济、新能源、高端装备等核心领域，重点引进技术领军人才、青年科技人才和</w:t>
      </w:r>
      <w:r>
        <w:rPr>
          <w:rFonts w:hint="default" w:ascii="Times New Roman" w:hAnsi="Times New Roman" w:cs="Times New Roman"/>
          <w:kern w:val="21"/>
          <w:sz w:val="32"/>
          <w:szCs w:val="32"/>
          <w:lang w:val="en-US" w:eastAsia="zh-CN"/>
        </w:rPr>
        <w:t>专业</w:t>
      </w:r>
      <w:r>
        <w:rPr>
          <w:rFonts w:hint="default" w:ascii="Times New Roman" w:hAnsi="Times New Roman" w:cs="Times New Roman"/>
          <w:kern w:val="21"/>
          <w:sz w:val="32"/>
          <w:szCs w:val="32"/>
          <w:lang w:eastAsia="zh-CN"/>
        </w:rPr>
        <w:t>技能人才。创新多元引才模式，推广“柔性引才”“项目引才”“周末工程师”“人才飞地”等模式，与高校院所、科研机构建立人才共享机制，破解关键技术领域引才难题。实施“人才+项目”捆绑引才政策，对带技术、带项目、带资金的高层次人才团队，给予</w:t>
      </w:r>
      <w:r>
        <w:rPr>
          <w:rFonts w:hint="default" w:ascii="Times New Roman" w:hAnsi="Times New Roman" w:cs="Times New Roman"/>
          <w:kern w:val="21"/>
          <w:sz w:val="32"/>
          <w:szCs w:val="32"/>
          <w:lang w:val="en-US" w:eastAsia="zh-CN"/>
        </w:rPr>
        <w:t>政策优惠</w:t>
      </w:r>
      <w:r>
        <w:rPr>
          <w:rFonts w:hint="default" w:ascii="Times New Roman" w:hAnsi="Times New Roman" w:cs="Times New Roman"/>
          <w:kern w:val="21"/>
          <w:sz w:val="32"/>
          <w:szCs w:val="32"/>
          <w:lang w:eastAsia="zh-CN"/>
        </w:rPr>
        <w:t>，推动项目落地与人才集聚同步实现。深化“榴枣归乡”工程，</w:t>
      </w:r>
      <w:r>
        <w:rPr>
          <w:rFonts w:hint="default" w:ascii="Times New Roman" w:hAnsi="Times New Roman" w:cs="Times New Roman"/>
          <w:kern w:val="21"/>
          <w:sz w:val="32"/>
          <w:szCs w:val="32"/>
          <w:lang w:val="en-US" w:eastAsia="zh-CN"/>
        </w:rPr>
        <w:t>完善</w:t>
      </w:r>
      <w:r>
        <w:rPr>
          <w:rFonts w:hint="default" w:ascii="Times New Roman" w:hAnsi="Times New Roman" w:cs="Times New Roman"/>
          <w:kern w:val="21"/>
          <w:sz w:val="32"/>
          <w:szCs w:val="32"/>
          <w:lang w:eastAsia="zh-CN"/>
        </w:rPr>
        <w:t>在外人才信息库，吸引薛城籍在外科技人才、企业家返乡创新创业。</w:t>
      </w:r>
      <w:r>
        <w:rPr>
          <w:rFonts w:hint="default" w:ascii="Times New Roman" w:hAnsi="Times New Roman" w:cs="Times New Roman"/>
          <w:kern w:val="21"/>
          <w:sz w:val="32"/>
          <w:szCs w:val="32"/>
          <w:lang w:val="en-US" w:eastAsia="zh-CN"/>
        </w:rPr>
        <w:t>积极组织</w:t>
      </w:r>
      <w:r>
        <w:rPr>
          <w:rFonts w:hint="default" w:ascii="Times New Roman" w:hAnsi="Times New Roman" w:cs="Times New Roman"/>
          <w:kern w:val="21"/>
          <w:sz w:val="32"/>
          <w:szCs w:val="32"/>
          <w:lang w:eastAsia="zh-CN"/>
        </w:rPr>
        <w:t>参与区域性人才交流活动，与长三角、珠三角等人才密集地区建立引才合作机制，拓宽高端人才引进渠道。“</w:t>
      </w:r>
      <w:r>
        <w:rPr>
          <w:rFonts w:hint="default" w:ascii="Times New Roman" w:hAnsi="Times New Roman" w:cs="Times New Roman"/>
          <w:kern w:val="21"/>
          <w:sz w:val="32"/>
          <w:szCs w:val="32"/>
          <w:lang w:val="en-US" w:eastAsia="zh-CN"/>
        </w:rPr>
        <w:t>十五五</w:t>
      </w:r>
      <w:r>
        <w:rPr>
          <w:rFonts w:hint="default" w:ascii="Times New Roman" w:hAnsi="Times New Roman" w:cs="Times New Roman"/>
          <w:kern w:val="21"/>
          <w:sz w:val="32"/>
          <w:szCs w:val="32"/>
          <w:lang w:eastAsia="zh-CN"/>
        </w:rPr>
        <w:t>”</w:t>
      </w:r>
      <w:r>
        <w:rPr>
          <w:rFonts w:hint="default" w:ascii="Times New Roman" w:hAnsi="Times New Roman" w:cs="Times New Roman"/>
          <w:kern w:val="21"/>
          <w:sz w:val="32"/>
          <w:szCs w:val="32"/>
          <w:lang w:val="en-US" w:eastAsia="zh-CN"/>
        </w:rPr>
        <w:t>期间</w:t>
      </w:r>
      <w:r>
        <w:rPr>
          <w:rFonts w:hint="default" w:ascii="Times New Roman" w:hAnsi="Times New Roman" w:cs="Times New Roman"/>
          <w:kern w:val="21"/>
          <w:sz w:val="32"/>
          <w:szCs w:val="32"/>
          <w:lang w:eastAsia="zh-CN"/>
        </w:rPr>
        <w:t>，申报国家级人才10人，泰山产业领军人才（团队）5人，枣庄英才15人。</w:t>
      </w:r>
    </w:p>
    <w:p w14:paraId="6FFE340C">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eastAsia="zh-CN"/>
        </w:rPr>
      </w:pPr>
      <w:r>
        <w:rPr>
          <w:rFonts w:hint="eastAsia" w:ascii="楷体_GB2312" w:hAnsi="楷体_GB2312" w:eastAsia="楷体_GB2312" w:cs="楷体_GB2312"/>
          <w:b w:val="0"/>
          <w:bCs w:val="0"/>
          <w:lang w:val="en-US" w:eastAsia="zh-CN"/>
        </w:rPr>
        <w:t>培育本土技能型与创新型人才。</w:t>
      </w:r>
      <w:r>
        <w:rPr>
          <w:rFonts w:hint="default" w:ascii="Times New Roman" w:hAnsi="Times New Roman" w:cs="Times New Roman"/>
          <w:kern w:val="21"/>
          <w:sz w:val="32"/>
          <w:szCs w:val="32"/>
          <w:lang w:eastAsia="zh-CN"/>
        </w:rPr>
        <w:t>深化产教融合，推动枣庄学院、</w:t>
      </w:r>
      <w:r>
        <w:rPr>
          <w:rFonts w:hint="default" w:ascii="Times New Roman" w:hAnsi="Times New Roman" w:cs="Times New Roman"/>
          <w:kern w:val="21"/>
          <w:sz w:val="32"/>
          <w:szCs w:val="32"/>
          <w:lang w:val="en-US" w:eastAsia="zh-CN"/>
        </w:rPr>
        <w:t>枣庄职业学院、</w:t>
      </w:r>
      <w:r>
        <w:rPr>
          <w:rFonts w:hint="default" w:ascii="Times New Roman" w:hAnsi="Times New Roman" w:cs="Times New Roman"/>
          <w:kern w:val="21"/>
          <w:sz w:val="32"/>
          <w:szCs w:val="32"/>
          <w:lang w:eastAsia="zh-CN"/>
        </w:rPr>
        <w:t>枣庄理工学校、</w:t>
      </w:r>
      <w:r>
        <w:rPr>
          <w:rFonts w:hint="default" w:ascii="Times New Roman" w:hAnsi="Times New Roman" w:cs="Times New Roman"/>
          <w:kern w:val="21"/>
          <w:sz w:val="32"/>
          <w:szCs w:val="32"/>
          <w:lang w:val="en-US" w:eastAsia="zh-CN"/>
        </w:rPr>
        <w:t>枣矿集团技术学院</w:t>
      </w:r>
      <w:r>
        <w:rPr>
          <w:rFonts w:hint="default" w:ascii="Times New Roman" w:hAnsi="Times New Roman" w:cs="Times New Roman"/>
          <w:kern w:val="21"/>
          <w:sz w:val="32"/>
          <w:szCs w:val="32"/>
          <w:lang w:eastAsia="zh-CN"/>
        </w:rPr>
        <w:t>等本地高校、职业院校与</w:t>
      </w:r>
      <w:r>
        <w:rPr>
          <w:rFonts w:hint="default" w:ascii="Times New Roman" w:hAnsi="Times New Roman" w:cs="Times New Roman"/>
          <w:kern w:val="21"/>
          <w:sz w:val="32"/>
          <w:szCs w:val="32"/>
          <w:lang w:val="en-US" w:eastAsia="zh-CN"/>
        </w:rPr>
        <w:t>重点产业、重点</w:t>
      </w:r>
      <w:r>
        <w:rPr>
          <w:rFonts w:hint="default" w:ascii="Times New Roman" w:hAnsi="Times New Roman" w:cs="Times New Roman"/>
          <w:kern w:val="21"/>
          <w:sz w:val="32"/>
          <w:szCs w:val="32"/>
          <w:lang w:eastAsia="zh-CN"/>
        </w:rPr>
        <w:t>企业共建“产业学院”“实训基地”，开设锂电材料、智能装备、低空经济等特色专业，实施“订单式”人才培养。针对传统产业技改、新兴产业发展需求，组织企业技术骨干参加数字化转型、绿色生产、智能操作等专项培训。支持本土企业设立“技能大师工作室”“首席技师岗位”，发挥技能带头人传帮带作用，培育一批“</w:t>
      </w:r>
      <w:r>
        <w:rPr>
          <w:rFonts w:hint="default" w:ascii="Times New Roman" w:hAnsi="Times New Roman" w:cs="Times New Roman"/>
          <w:kern w:val="21"/>
          <w:sz w:val="32"/>
          <w:szCs w:val="32"/>
          <w:lang w:val="en-US" w:eastAsia="zh-CN"/>
        </w:rPr>
        <w:t>奚仲工匠</w:t>
      </w:r>
      <w:r>
        <w:rPr>
          <w:rFonts w:hint="default" w:ascii="Times New Roman" w:hAnsi="Times New Roman" w:cs="Times New Roman"/>
          <w:kern w:val="21"/>
          <w:sz w:val="32"/>
          <w:szCs w:val="32"/>
          <w:lang w:eastAsia="zh-CN"/>
        </w:rPr>
        <w:t>”，推动本土人才向创新型、高技能型转变。</w:t>
      </w:r>
    </w:p>
    <w:p w14:paraId="784C5E96">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eastAsia="zh-CN"/>
        </w:rPr>
      </w:pPr>
      <w:r>
        <w:rPr>
          <w:rFonts w:hint="eastAsia" w:ascii="楷体_GB2312" w:hAnsi="楷体_GB2312" w:eastAsia="楷体_GB2312" w:cs="楷体_GB2312"/>
          <w:b w:val="0"/>
          <w:bCs w:val="0"/>
          <w:lang w:val="en-US" w:eastAsia="zh-CN"/>
        </w:rPr>
        <w:t>优化人才服务保障体系。</w:t>
      </w:r>
      <w:r>
        <w:rPr>
          <w:rFonts w:hint="default" w:ascii="Times New Roman" w:hAnsi="Times New Roman" w:cs="Times New Roman"/>
          <w:kern w:val="21"/>
          <w:sz w:val="32"/>
          <w:szCs w:val="32"/>
          <w:lang w:eastAsia="zh-CN"/>
        </w:rPr>
        <w:t>坚持以服务留人才，完善人才住房保障，对引进的高端人才、青年科技人才提供免租金或低租金住房，对在薛城购房的人才给予购房补贴；优化医疗保障服务，为高层次人才开通定点医院“绿色通道”，提供定期健康体检、专属诊疗服务。建立“一站式”人才服务中心，整合人社、科技、教育、医疗等部门资源，为人才提供政策咨询、项目申报、落户安居、配偶就业等全流程服务。加强人才宣传推介，营造“尊重人才、服务人才、成就人才”的浓厚社会氛围，让人才在薛城安心工作、舒心生活、潜心创新。</w:t>
      </w:r>
    </w:p>
    <w:p w14:paraId="29F71462">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33" w:name="_Toc968977806"/>
      <w:r>
        <w:rPr>
          <w:rFonts w:hint="eastAsia" w:ascii="楷体_GB2312" w:hAnsi="楷体_GB2312" w:eastAsia="楷体_GB2312" w:cs="楷体_GB2312"/>
          <w:kern w:val="21"/>
          <w:sz w:val="32"/>
          <w:szCs w:val="32"/>
          <w:highlight w:val="none"/>
          <w:lang w:val="en-US" w:eastAsia="zh-CN"/>
        </w:rPr>
        <w:t>第四节  优化创新生态环境</w:t>
      </w:r>
      <w:bookmarkEnd w:id="33"/>
    </w:p>
    <w:p w14:paraId="0DD02B2C">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eastAsia="zh-CN"/>
        </w:rPr>
      </w:pPr>
      <w:r>
        <w:rPr>
          <w:rFonts w:hint="default" w:ascii="Times New Roman" w:hAnsi="Times New Roman" w:cs="Times New Roman"/>
          <w:kern w:val="21"/>
          <w:sz w:val="32"/>
          <w:szCs w:val="32"/>
          <w:lang w:eastAsia="zh-CN"/>
        </w:rPr>
        <w:t>从金融</w:t>
      </w:r>
      <w:r>
        <w:rPr>
          <w:rFonts w:hint="default" w:ascii="Times New Roman" w:hAnsi="Times New Roman" w:cs="Times New Roman"/>
          <w:kern w:val="21"/>
          <w:sz w:val="32"/>
          <w:szCs w:val="32"/>
          <w:lang w:val="en-US" w:eastAsia="zh-CN"/>
        </w:rPr>
        <w:t>支持</w:t>
      </w:r>
      <w:r>
        <w:rPr>
          <w:rFonts w:hint="default" w:ascii="Times New Roman" w:hAnsi="Times New Roman" w:cs="Times New Roman"/>
          <w:kern w:val="21"/>
          <w:sz w:val="32"/>
          <w:szCs w:val="32"/>
          <w:lang w:eastAsia="zh-CN"/>
        </w:rPr>
        <w:t>、产权保护、氛围营造三个维度发力，构建全链条、全方位的创新生态体系，为科技创新提供稳定可预期的发展环境。</w:t>
      </w:r>
    </w:p>
    <w:p w14:paraId="05A5F132">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eastAsia="zh-CN"/>
        </w:rPr>
      </w:pPr>
      <w:r>
        <w:rPr>
          <w:rFonts w:hint="eastAsia" w:ascii="楷体_GB2312" w:hAnsi="楷体_GB2312" w:eastAsia="楷体_GB2312" w:cs="楷体_GB2312"/>
          <w:b w:val="0"/>
          <w:bCs w:val="0"/>
          <w:lang w:val="en-US" w:eastAsia="zh-CN"/>
        </w:rPr>
        <w:t>提升科技金融服务水平。</w:t>
      </w:r>
      <w:r>
        <w:rPr>
          <w:rFonts w:hint="default" w:ascii="Times New Roman" w:hAnsi="Times New Roman" w:cs="Times New Roman"/>
          <w:kern w:val="21"/>
          <w:sz w:val="32"/>
          <w:szCs w:val="32"/>
          <w:lang w:val="en-US" w:eastAsia="zh-CN"/>
        </w:rPr>
        <w:t>探索</w:t>
      </w:r>
      <w:r>
        <w:rPr>
          <w:rFonts w:hint="default" w:ascii="Times New Roman" w:hAnsi="Times New Roman" w:cs="Times New Roman"/>
          <w:kern w:val="21"/>
          <w:sz w:val="32"/>
          <w:szCs w:val="32"/>
          <w:lang w:eastAsia="zh-CN"/>
        </w:rPr>
        <w:t>通过股权投资、贴息补助等方式，撬动银行、保险、创投机构等社会资本跟进投入，形成“财政引导+社会参与”的多元投入格局。推动“科技+金融”深度融合，鼓励金融机构开发“科创贷”“中试贷”“绿色贷”等定制化金融产品，针对科技型中小企业推出知识产权质押、股权质押、订单融资等服务，降低放贷门槛与成本。引入专业创业投资、风险投资机构，重点投向科技初创企业和中试阶段项目，完善“孵化—成长—壮大”全周期金融服务。</w:t>
      </w:r>
    </w:p>
    <w:p w14:paraId="399F04C4">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eastAsia="zh-CN"/>
        </w:rPr>
      </w:pPr>
      <w:r>
        <w:rPr>
          <w:rFonts w:hint="eastAsia" w:ascii="楷体_GB2312" w:hAnsi="楷体_GB2312" w:eastAsia="楷体_GB2312" w:cs="楷体_GB2312"/>
          <w:b w:val="0"/>
          <w:bCs w:val="0"/>
          <w:lang w:val="en-US" w:eastAsia="zh-CN"/>
        </w:rPr>
        <w:t>加强知识产权保护与运用。</w:t>
      </w:r>
      <w:r>
        <w:rPr>
          <w:rFonts w:hint="default" w:ascii="Times New Roman" w:hAnsi="Times New Roman" w:cs="Times New Roman"/>
          <w:kern w:val="21"/>
          <w:sz w:val="32"/>
          <w:szCs w:val="32"/>
          <w:lang w:eastAsia="zh-CN"/>
        </w:rPr>
        <w:t>健全知识产权保护工作机制，打击侵犯专利、商标、商业秘密等侵权违法行为。建立知识产权侵权预警与快速维权通道，为企业提供侵权监测、纠纷调解、诉讼援助等服务。促进知识产权转化运用，推动</w:t>
      </w:r>
      <w:r>
        <w:rPr>
          <w:rFonts w:hint="default" w:ascii="Times New Roman" w:hAnsi="Times New Roman" w:cs="Times New Roman"/>
          <w:kern w:val="21"/>
          <w:sz w:val="32"/>
          <w:szCs w:val="32"/>
          <w:lang w:val="en-US" w:eastAsia="zh-CN"/>
        </w:rPr>
        <w:t>科技</w:t>
      </w:r>
      <w:r>
        <w:rPr>
          <w:rFonts w:hint="default" w:ascii="Times New Roman" w:hAnsi="Times New Roman" w:cs="Times New Roman"/>
          <w:kern w:val="21"/>
          <w:sz w:val="32"/>
          <w:szCs w:val="32"/>
          <w:lang w:eastAsia="zh-CN"/>
        </w:rPr>
        <w:t>成果挂牌交易。开展知识产权培训进企业、进园区活动，提升中小企业专利申请、运用和保护能力，培育省级以上知识产权优势企业。</w:t>
      </w:r>
    </w:p>
    <w:p w14:paraId="41164691">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kern w:val="21"/>
          <w:sz w:val="32"/>
          <w:szCs w:val="32"/>
          <w:lang w:eastAsia="zh-CN"/>
        </w:rPr>
      </w:pPr>
      <w:r>
        <w:rPr>
          <w:rFonts w:hint="eastAsia" w:ascii="楷体_GB2312" w:hAnsi="楷体_GB2312" w:eastAsia="楷体_GB2312" w:cs="楷体_GB2312"/>
          <w:b w:val="0"/>
          <w:bCs w:val="0"/>
          <w:lang w:val="en-US" w:eastAsia="zh-CN"/>
        </w:rPr>
        <w:t>营造崇尚创新的社会氛围。</w:t>
      </w:r>
      <w:r>
        <w:rPr>
          <w:rFonts w:hint="default" w:ascii="Times New Roman" w:hAnsi="Times New Roman" w:cs="Times New Roman"/>
          <w:kern w:val="21"/>
          <w:sz w:val="32"/>
          <w:szCs w:val="32"/>
          <w:lang w:eastAsia="zh-CN"/>
        </w:rPr>
        <w:t>深化科普宣传教育，依托研学教育基地、主题科普展馆</w:t>
      </w:r>
      <w:r>
        <w:rPr>
          <w:rFonts w:hint="default" w:ascii="Times New Roman" w:hAnsi="Times New Roman" w:cs="Times New Roman"/>
          <w:kern w:val="21"/>
          <w:sz w:val="32"/>
          <w:szCs w:val="32"/>
          <w:lang w:val="en-US" w:eastAsia="zh-CN"/>
        </w:rPr>
        <w:t>等载体</w:t>
      </w:r>
      <w:r>
        <w:rPr>
          <w:rFonts w:hint="default" w:ascii="Times New Roman" w:hAnsi="Times New Roman" w:cs="Times New Roman"/>
          <w:kern w:val="21"/>
          <w:sz w:val="32"/>
          <w:szCs w:val="32"/>
          <w:lang w:eastAsia="zh-CN"/>
        </w:rPr>
        <w:t>，开展“科普进校园、进企业、进社区”系列活动，提升全民科学素养。搭建创新交流平台，邀请行业专家、企业家开展创新讲座、技术交流活动，搭建政企、校企、企企对接桥梁，激发全社会创新热情。健全创新激励机制，对在科技创新、成果转化、人才引进等方面作出突出贡献的企业、团队和个人，给予表彰奖励并宣传推广。弘扬科学家精神、企业家精神和工匠精神，营造鼓励创新、宽容失败、崇尚实干、追求卓越的社会氛围。</w:t>
      </w:r>
    </w:p>
    <w:p w14:paraId="4EA24B00">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34" w:name="_Toc1388107431"/>
      <w:r>
        <w:rPr>
          <w:rFonts w:hint="eastAsia" w:ascii="楷体_GB2312" w:hAnsi="楷体_GB2312" w:eastAsia="楷体_GB2312" w:cs="楷体_GB2312"/>
          <w:kern w:val="21"/>
          <w:sz w:val="32"/>
          <w:szCs w:val="32"/>
          <w:highlight w:val="none"/>
          <w:lang w:val="en-US" w:eastAsia="zh-CN"/>
        </w:rPr>
        <w:t>第五节  推进数字强区建设</w:t>
      </w:r>
      <w:bookmarkEnd w:id="34"/>
    </w:p>
    <w:p w14:paraId="6EBE9312">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落实数字集聚赋能行动，统筹推进数字产业化和产业数字化，推动人工智能与实体经济深度融合。</w:t>
      </w:r>
    </w:p>
    <w:p w14:paraId="3EB5274F">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lang w:eastAsia="zh-CN"/>
        </w:rPr>
      </w:pPr>
      <w:r>
        <w:rPr>
          <w:rFonts w:hint="eastAsia" w:ascii="楷体_GB2312" w:hAnsi="楷体_GB2312" w:eastAsia="楷体_GB2312" w:cs="楷体_GB2312"/>
          <w:lang w:eastAsia="zh-CN"/>
        </w:rPr>
        <w:t>培育数字产业化。</w:t>
      </w:r>
      <w:r>
        <w:rPr>
          <w:rFonts w:hint="default" w:ascii="Times New Roman" w:hAnsi="Times New Roman" w:eastAsia="仿宋_GB2312" w:cs="Times New Roman"/>
          <w:lang w:eastAsia="zh-CN"/>
        </w:rPr>
        <w:t>聚焦数字产业赛道，培育特色数字产业，提升数字经济竞争力。聚焦互联网服务、磁性元器件</w:t>
      </w:r>
      <w:r>
        <w:rPr>
          <w:rFonts w:hint="default" w:ascii="Times New Roman" w:hAnsi="Times New Roman" w:cs="Times New Roman"/>
          <w:lang w:eastAsia="zh-CN"/>
        </w:rPr>
        <w:t>、</w:t>
      </w:r>
      <w:r>
        <w:rPr>
          <w:rFonts w:hint="default" w:ascii="Times New Roman" w:hAnsi="Times New Roman" w:cs="Times New Roman"/>
          <w:lang w:val="en-US" w:eastAsia="zh-CN"/>
        </w:rPr>
        <w:t>人工智能+</w:t>
      </w:r>
      <w:r>
        <w:rPr>
          <w:rFonts w:hint="default" w:ascii="Times New Roman" w:hAnsi="Times New Roman" w:eastAsia="仿宋_GB2312" w:cs="Times New Roman"/>
          <w:lang w:eastAsia="zh-CN"/>
        </w:rPr>
        <w:t>等领域，引进培育技术领先的数字企业。支持微桌科技、正天电子、青合文化等本土数字企业做大做强，鼓励其参与数字技术研发与行业解决方案输出，提升本土数字产业竞争力。依托鲁南数字化新经济产业园培育直播电商、跨境电商等数字消费业态，推动数字技术与文旅、康养等产业融合创新。推进数字产业载体建设，高标准建设数字经济园区，培育数字经济龙头企业，</w:t>
      </w:r>
      <w:r>
        <w:rPr>
          <w:rFonts w:hint="default" w:ascii="Times New Roman" w:hAnsi="Times New Roman" w:cs="Times New Roman"/>
          <w:lang w:val="en-US" w:eastAsia="zh-CN"/>
        </w:rPr>
        <w:t>推动</w:t>
      </w:r>
      <w:r>
        <w:rPr>
          <w:rFonts w:hint="default" w:ascii="Times New Roman" w:hAnsi="Times New Roman" w:eastAsia="仿宋_GB2312" w:cs="Times New Roman"/>
          <w:lang w:eastAsia="zh-CN"/>
        </w:rPr>
        <w:t>数字产业</w:t>
      </w:r>
      <w:r>
        <w:rPr>
          <w:rFonts w:hint="default" w:ascii="Times New Roman" w:hAnsi="Times New Roman" w:cs="Times New Roman"/>
          <w:lang w:val="en-US" w:eastAsia="zh-CN"/>
        </w:rPr>
        <w:t>集聚发展</w:t>
      </w:r>
      <w:r>
        <w:rPr>
          <w:rFonts w:hint="default" w:ascii="Times New Roman" w:hAnsi="Times New Roman" w:eastAsia="仿宋_GB2312" w:cs="Times New Roman"/>
          <w:lang w:eastAsia="zh-CN"/>
        </w:rPr>
        <w:t>。</w:t>
      </w:r>
    </w:p>
    <w:p w14:paraId="3399A04D">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sz w:val="32"/>
          <w:lang w:eastAsia="zh-CN"/>
        </w:rPr>
      </w:pPr>
      <w:r>
        <w:rPr>
          <w:rFonts w:hint="default" w:ascii="Times New Roman" w:hAnsi="Times New Roman" w:eastAsia="楷体_GB2312" w:cs="Times New Roman"/>
          <w:lang w:val="en-US" w:eastAsia="zh-CN"/>
        </w:rPr>
        <w:t>深化“人工智能+”融合应用</w:t>
      </w:r>
      <w:r>
        <w:rPr>
          <w:rFonts w:hint="default" w:ascii="Times New Roman" w:hAnsi="Times New Roman" w:eastAsia="楷体_GB2312" w:cs="Times New Roman"/>
          <w:lang w:eastAsia="zh-CN"/>
        </w:rPr>
        <w:t>。</w:t>
      </w:r>
      <w:r>
        <w:rPr>
          <w:rFonts w:hint="default" w:ascii="Times New Roman" w:hAnsi="Times New Roman" w:cs="Times New Roman"/>
          <w:lang w:val="en-US" w:eastAsia="zh-CN"/>
        </w:rPr>
        <w:t>推动</w:t>
      </w:r>
      <w:r>
        <w:rPr>
          <w:rFonts w:hint="default" w:ascii="Times New Roman" w:hAnsi="Times New Roman" w:eastAsia="仿宋_GB2312" w:cs="Times New Roman"/>
          <w:lang w:eastAsia="zh-CN"/>
        </w:rPr>
        <w:t>数字技术与实体经济深度融合，促进传统产业迭代升级与新兴产业提质增效。制造业领域推广工业互联网平台应用，</w:t>
      </w:r>
      <w:r>
        <w:rPr>
          <w:rFonts w:hint="default" w:ascii="Times New Roman" w:hAnsi="Times New Roman" w:eastAsia="仿宋_GB2312" w:cs="Times New Roman"/>
          <w:sz w:val="32"/>
          <w:lang w:eastAsia="zh-CN"/>
        </w:rPr>
        <w:t>推动人工智能技术嵌入生产制造核心环节，实现研发、生产、管理、服务全流程智能化升级，培育一批智能工厂</w:t>
      </w:r>
      <w:r>
        <w:rPr>
          <w:rFonts w:hint="default" w:ascii="Times New Roman" w:hAnsi="Times New Roman" w:eastAsia="仿宋_GB2312" w:cs="Times New Roman"/>
          <w:lang w:eastAsia="zh-CN"/>
        </w:rPr>
        <w:t>。</w:t>
      </w:r>
      <w:r>
        <w:rPr>
          <w:rFonts w:hint="default" w:ascii="Times New Roman" w:hAnsi="Times New Roman" w:eastAsia="仿宋_GB2312" w:cs="Times New Roman"/>
          <w:highlight w:val="none"/>
          <w:lang w:eastAsia="zh-CN"/>
        </w:rPr>
        <w:t>农业领域</w:t>
      </w:r>
      <w:r>
        <w:rPr>
          <w:rFonts w:hint="default" w:ascii="Times New Roman" w:hAnsi="Times New Roman" w:eastAsia="仿宋_GB2312" w:cs="Times New Roman"/>
          <w:sz w:val="32"/>
          <w:lang w:eastAsia="zh-CN"/>
        </w:rPr>
        <w:t>加快推动数字农业、智慧农业建设，加强人工智能在农业生产管理、风险防范等领域应用，推广智能农机、农业无人机等智能装备，</w:t>
      </w:r>
      <w:r>
        <w:rPr>
          <w:rFonts w:hint="default" w:ascii="Times New Roman" w:hAnsi="Times New Roman" w:eastAsia="仿宋_GB2312" w:cs="Times New Roman"/>
          <w:highlight w:val="none"/>
          <w:lang w:eastAsia="zh-CN"/>
        </w:rPr>
        <w:t>推进</w:t>
      </w:r>
      <w:r>
        <w:rPr>
          <w:rFonts w:hint="default" w:ascii="Times New Roman" w:hAnsi="Times New Roman" w:eastAsia="仿宋_GB2312" w:cs="Times New Roman"/>
          <w:lang w:eastAsia="zh-CN"/>
        </w:rPr>
        <w:t>智慧粮库等项目建设，升级粮食智能出入库与仓储监控系统，</w:t>
      </w:r>
      <w:r>
        <w:rPr>
          <w:rFonts w:hint="default" w:ascii="Times New Roman" w:hAnsi="Times New Roman" w:eastAsia="仿宋_GB2312" w:cs="Times New Roman"/>
          <w:sz w:val="32"/>
          <w:lang w:eastAsia="zh-CN"/>
        </w:rPr>
        <w:t>推动农业数智化转型</w:t>
      </w:r>
      <w:r>
        <w:rPr>
          <w:rFonts w:hint="default" w:ascii="Times New Roman" w:hAnsi="Times New Roman" w:eastAsia="仿宋_GB2312" w:cs="Times New Roman"/>
          <w:lang w:eastAsia="zh-CN"/>
        </w:rPr>
        <w:t>。</w:t>
      </w:r>
      <w:r>
        <w:rPr>
          <w:rFonts w:hint="default" w:ascii="Times New Roman" w:hAnsi="Times New Roman" w:eastAsia="仿宋_GB2312" w:cs="Times New Roman"/>
          <w:sz w:val="32"/>
          <w:lang w:eastAsia="zh-CN"/>
        </w:rPr>
        <w:t>服务业</w:t>
      </w:r>
      <w:r>
        <w:rPr>
          <w:rFonts w:hint="default" w:ascii="Times New Roman" w:hAnsi="Times New Roman" w:cs="Times New Roman"/>
          <w:sz w:val="32"/>
          <w:lang w:val="en-US" w:eastAsia="zh-CN"/>
        </w:rPr>
        <w:t>领域</w:t>
      </w:r>
      <w:r>
        <w:rPr>
          <w:rFonts w:hint="default" w:ascii="Times New Roman" w:hAnsi="Times New Roman" w:eastAsia="仿宋_GB2312" w:cs="Times New Roman"/>
          <w:sz w:val="32"/>
          <w:lang w:eastAsia="zh-CN"/>
        </w:rPr>
        <w:t>加快向智能驱动的新型服务方式演进，</w:t>
      </w:r>
      <w:r>
        <w:rPr>
          <w:rFonts w:hint="default" w:ascii="Times New Roman" w:hAnsi="Times New Roman" w:cs="Times New Roman"/>
          <w:sz w:val="32"/>
          <w:lang w:val="en-US" w:eastAsia="zh-CN"/>
        </w:rPr>
        <w:t>引导</w:t>
      </w:r>
      <w:r>
        <w:rPr>
          <w:rFonts w:hint="default" w:ascii="Times New Roman" w:hAnsi="Times New Roman" w:eastAsia="仿宋_GB2312" w:cs="Times New Roman"/>
          <w:sz w:val="32"/>
          <w:lang w:eastAsia="zh-CN"/>
        </w:rPr>
        <w:t>服务业企业应用人工智能拓展经营范围，以软件、信息、金融、交通、物流、商贸等为重点，支持企业开展人工智能试点和示范，以点带面实现提质增效。鼓励发展人工智能驱动的智能客服、智能物流等人机协同新业态，提升人工服务效率，丰富客户服务体验。</w:t>
      </w:r>
    </w:p>
    <w:p w14:paraId="22F7FC1C">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sz w:val="32"/>
          <w:lang w:eastAsia="zh-CN"/>
        </w:rPr>
      </w:pPr>
      <w:r>
        <w:rPr>
          <w:rFonts w:hint="eastAsia" w:ascii="楷体_GB2312" w:hAnsi="楷体_GB2312" w:eastAsia="楷体_GB2312" w:cs="楷体_GB2312"/>
        </w:rPr>
        <w:t>打造智慧政务服务体系</w:t>
      </w:r>
      <w:r>
        <w:rPr>
          <w:rFonts w:hint="eastAsia" w:ascii="楷体_GB2312" w:hAnsi="楷体_GB2312" w:eastAsia="楷体_GB2312" w:cs="楷体_GB2312"/>
          <w:lang w:eastAsia="zh-CN"/>
        </w:rPr>
        <w:t>。</w:t>
      </w:r>
      <w:r>
        <w:rPr>
          <w:rFonts w:hint="default" w:ascii="Times New Roman" w:hAnsi="Times New Roman" w:eastAsia="仿宋_GB2312" w:cs="Times New Roman"/>
          <w:sz w:val="32"/>
          <w:lang w:eastAsia="zh-CN"/>
        </w:rPr>
        <w:t>推动市政基础设施智能化改造升级，探索“AI+政务+城市治理”新模式，提升城市治理精准化、智能化水平。深化政务服务数字化应用，拓展政务服务“智能客服”应用场景，</w:t>
      </w:r>
      <w:r>
        <w:rPr>
          <w:rFonts w:hint="default" w:ascii="Times New Roman" w:hAnsi="Times New Roman" w:eastAsia="仿宋_GB2312" w:cs="Times New Roman"/>
          <w:lang w:eastAsia="zh-CN"/>
        </w:rPr>
        <w:t>提升政务服务效率</w:t>
      </w:r>
      <w:r>
        <w:rPr>
          <w:rFonts w:hint="default" w:ascii="Times New Roman" w:hAnsi="Times New Roman" w:eastAsia="仿宋_GB2312" w:cs="Times New Roman"/>
          <w:sz w:val="32"/>
          <w:lang w:eastAsia="zh-CN"/>
        </w:rPr>
        <w:t>。加强人工智能在安全生产监管、防灾减灾救灾、公共安全预警、社会治安管理等方面的应用，实现突发事件智能预警、风险评估和指挥调度。拓展人工智能在医疗、教育、文旅等民生领域的大规模应用，推动社会治理智能化。</w:t>
      </w:r>
    </w:p>
    <w:p w14:paraId="5AB90D43">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lang w:eastAsia="zh-CN"/>
        </w:rPr>
      </w:pPr>
      <w:r>
        <w:rPr>
          <w:rFonts w:hint="eastAsia" w:ascii="楷体_GB2312" w:hAnsi="楷体_GB2312" w:eastAsia="楷体_GB2312" w:cs="楷体_GB2312"/>
          <w:lang w:eastAsia="zh-CN"/>
        </w:rPr>
        <w:t>激活数据要素价值潜力。</w:t>
      </w:r>
      <w:r>
        <w:rPr>
          <w:rFonts w:hint="default" w:ascii="Times New Roman" w:hAnsi="Times New Roman" w:eastAsia="仿宋_GB2312" w:cs="Times New Roman"/>
          <w:lang w:eastAsia="zh-CN"/>
        </w:rPr>
        <w:t>建立健全数据要素市场化配置机制，释放数据要素经济价值。推动政务数据与社会数据有序开放，重点推进低空经济、港口物流等领域数据共享应用。深化数据场景应用，依托文旅、产业等数据资源，打造精准营销、产能调度等数据应用场景，推动数据要素与实体经济深度融合，充分发挥数据要素对经济发展的放大、叠加、倍增作用。</w:t>
      </w:r>
    </w:p>
    <w:tbl>
      <w:tblPr>
        <w:tblStyle w:val="1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7"/>
      </w:tblGrid>
      <w:tr w14:paraId="5204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497" w:type="dxa"/>
            <w:noWrap w:val="0"/>
            <w:vAlign w:val="center"/>
          </w:tcPr>
          <w:p w14:paraId="3A5887AB">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00" w:lineRule="exact"/>
              <w:ind w:left="0" w:right="0" w:firstLine="0" w:firstLineChars="0"/>
              <w:jc w:val="center"/>
              <w:textAlignment w:val="auto"/>
              <w:rPr>
                <w:rFonts w:hint="default" w:ascii="Times New Roman" w:hAnsi="Times New Roman" w:eastAsia="黑体" w:cs="Times New Roman"/>
                <w:b w:val="0"/>
                <w:bCs w:val="0"/>
                <w:spacing w:val="0"/>
                <w:kern w:val="21"/>
                <w:sz w:val="28"/>
                <w:szCs w:val="28"/>
                <w:lang w:val="en-US"/>
              </w:rPr>
            </w:pPr>
            <w:r>
              <w:rPr>
                <w:rFonts w:hint="default" w:ascii="Times New Roman" w:hAnsi="Times New Roman" w:eastAsia="黑体" w:cs="Times New Roman"/>
                <w:b w:val="0"/>
                <w:bCs w:val="0"/>
                <w:spacing w:val="0"/>
                <w:kern w:val="21"/>
                <w:sz w:val="28"/>
                <w:szCs w:val="28"/>
              </w:rPr>
              <w:t>专栏</w:t>
            </w:r>
            <w:r>
              <w:rPr>
                <w:rFonts w:hint="default" w:ascii="Times New Roman" w:hAnsi="Times New Roman" w:eastAsia="黑体" w:cs="Times New Roman"/>
                <w:b w:val="0"/>
                <w:bCs w:val="0"/>
                <w:spacing w:val="0"/>
                <w:kern w:val="21"/>
                <w:sz w:val="28"/>
                <w:szCs w:val="28"/>
                <w:lang w:val="en-US" w:eastAsia="zh-CN"/>
              </w:rPr>
              <w:t>3</w:t>
            </w:r>
            <w:r>
              <w:rPr>
                <w:rFonts w:hint="default" w:ascii="Times New Roman" w:hAnsi="Times New Roman" w:eastAsia="黑体" w:cs="Times New Roman"/>
                <w:b w:val="0"/>
                <w:bCs w:val="0"/>
                <w:spacing w:val="0"/>
                <w:kern w:val="21"/>
                <w:sz w:val="28"/>
                <w:szCs w:val="28"/>
              </w:rPr>
              <w:t>：</w:t>
            </w:r>
            <w:r>
              <w:rPr>
                <w:rFonts w:hint="default" w:ascii="Times New Roman" w:hAnsi="Times New Roman" w:eastAsia="黑体" w:cs="Times New Roman"/>
                <w:b w:val="0"/>
                <w:bCs w:val="0"/>
                <w:spacing w:val="0"/>
                <w:kern w:val="21"/>
                <w:sz w:val="28"/>
                <w:szCs w:val="28"/>
                <w:lang w:val="en-US" w:eastAsia="zh-CN"/>
              </w:rPr>
              <w:t>科技创新与数字经济重点项目</w:t>
            </w:r>
          </w:p>
        </w:tc>
      </w:tr>
      <w:tr w14:paraId="49BC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jc w:val="center"/>
        </w:trPr>
        <w:tc>
          <w:tcPr>
            <w:tcW w:w="8497" w:type="dxa"/>
            <w:noWrap w:val="0"/>
            <w:vAlign w:val="center"/>
          </w:tcPr>
          <w:p w14:paraId="28B6210B">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highlight w:val="none"/>
                <w:lang w:val="en-US" w:eastAsia="zh-CN"/>
              </w:rPr>
            </w:pPr>
            <w:r>
              <w:rPr>
                <w:rFonts w:hint="default" w:ascii="Times New Roman" w:hAnsi="Times New Roman" w:cs="Times New Roman"/>
                <w:b w:val="0"/>
                <w:bCs w:val="0"/>
                <w:spacing w:val="0"/>
                <w:kern w:val="21"/>
                <w:sz w:val="28"/>
                <w:szCs w:val="28"/>
                <w:highlight w:val="none"/>
                <w:lang w:val="en-US" w:eastAsia="zh-CN"/>
              </w:rPr>
              <w:t>1.中科绿碳孵化精细化工园项目</w:t>
            </w:r>
          </w:p>
          <w:p w14:paraId="520D53E3">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highlight w:val="none"/>
                <w:lang w:val="en-US" w:eastAsia="zh-CN"/>
              </w:rPr>
            </w:pPr>
            <w:r>
              <w:rPr>
                <w:rFonts w:hint="default" w:ascii="Times New Roman" w:hAnsi="Times New Roman" w:cs="Times New Roman"/>
                <w:b w:val="0"/>
                <w:bCs w:val="0"/>
                <w:spacing w:val="0"/>
                <w:kern w:val="21"/>
                <w:sz w:val="28"/>
                <w:szCs w:val="28"/>
                <w:highlight w:val="none"/>
                <w:lang w:val="en-US" w:eastAsia="zh-CN"/>
              </w:rPr>
              <w:t>2.枣庄港薛城港区数字化提升项目</w:t>
            </w:r>
          </w:p>
          <w:p w14:paraId="6FAEF292">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highlight w:val="none"/>
                <w:lang w:val="en-US" w:eastAsia="zh-CN"/>
              </w:rPr>
            </w:pPr>
            <w:r>
              <w:rPr>
                <w:rFonts w:hint="default" w:ascii="Times New Roman" w:hAnsi="Times New Roman" w:cs="Times New Roman"/>
                <w:b w:val="0"/>
                <w:bCs w:val="0"/>
                <w:spacing w:val="0"/>
                <w:kern w:val="21"/>
                <w:sz w:val="28"/>
                <w:szCs w:val="28"/>
                <w:highlight w:val="none"/>
                <w:lang w:val="en-US" w:eastAsia="zh-CN"/>
              </w:rPr>
              <w:t>3.海帝新能源锂电池模组生产线柔性及信息化集成技术改造</w:t>
            </w:r>
          </w:p>
          <w:p w14:paraId="71DABAD9">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eastAsia" w:ascii="Times New Roman" w:hAnsi="Times New Roman" w:cs="Times New Roman"/>
                <w:b w:val="0"/>
                <w:bCs w:val="0"/>
                <w:spacing w:val="0"/>
                <w:kern w:val="21"/>
                <w:sz w:val="28"/>
                <w:szCs w:val="28"/>
                <w:highlight w:val="none"/>
                <w:lang w:val="en-US" w:eastAsia="zh-CN"/>
              </w:rPr>
            </w:pPr>
            <w:r>
              <w:rPr>
                <w:rFonts w:hint="eastAsia" w:ascii="Times New Roman" w:hAnsi="Times New Roman" w:cs="Times New Roman"/>
                <w:b w:val="0"/>
                <w:bCs w:val="0"/>
                <w:spacing w:val="0"/>
                <w:kern w:val="21"/>
                <w:sz w:val="28"/>
                <w:szCs w:val="28"/>
                <w:highlight w:val="none"/>
                <w:lang w:val="en-US" w:eastAsia="zh-CN"/>
              </w:rPr>
              <w:t>4.山东嘉驰超高纯对甲苯酚绿色连续化制备技术研发及产业化项目</w:t>
            </w:r>
          </w:p>
          <w:p w14:paraId="188225AE">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eastAsia" w:ascii="Times New Roman" w:hAnsi="Times New Roman" w:cs="Times New Roman"/>
                <w:b w:val="0"/>
                <w:bCs w:val="0"/>
                <w:spacing w:val="0"/>
                <w:kern w:val="21"/>
                <w:sz w:val="28"/>
                <w:szCs w:val="28"/>
                <w:highlight w:val="none"/>
                <w:lang w:val="en-US" w:eastAsia="zh-CN"/>
              </w:rPr>
            </w:pPr>
            <w:r>
              <w:rPr>
                <w:rFonts w:hint="eastAsia" w:ascii="Times New Roman" w:hAnsi="Times New Roman" w:cs="Times New Roman"/>
                <w:b w:val="0"/>
                <w:bCs w:val="0"/>
                <w:spacing w:val="0"/>
                <w:kern w:val="21"/>
                <w:sz w:val="28"/>
                <w:szCs w:val="28"/>
                <w:highlight w:val="none"/>
                <w:lang w:val="en-US" w:eastAsia="zh-CN"/>
              </w:rPr>
              <w:t>5.中科智能量子加密在电力系统数据通信中的研发及应用项目</w:t>
            </w:r>
          </w:p>
          <w:p w14:paraId="07216346">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eastAsia" w:ascii="Times New Roman" w:hAnsi="Times New Roman" w:cs="Times New Roman"/>
                <w:b w:val="0"/>
                <w:bCs w:val="0"/>
                <w:spacing w:val="0"/>
                <w:kern w:val="21"/>
                <w:sz w:val="28"/>
                <w:szCs w:val="28"/>
                <w:highlight w:val="none"/>
                <w:lang w:val="en-US" w:eastAsia="zh-CN"/>
              </w:rPr>
            </w:pPr>
            <w:r>
              <w:rPr>
                <w:rFonts w:hint="eastAsia" w:ascii="Times New Roman" w:hAnsi="Times New Roman" w:cs="Times New Roman"/>
                <w:b w:val="0"/>
                <w:bCs w:val="0"/>
                <w:spacing w:val="0"/>
                <w:kern w:val="21"/>
                <w:sz w:val="28"/>
                <w:szCs w:val="28"/>
                <w:highlight w:val="none"/>
                <w:lang w:val="en-US" w:eastAsia="zh-CN"/>
              </w:rPr>
              <w:t>6.山东航景重载大四轴物资吊运无人机研发项目</w:t>
            </w:r>
          </w:p>
          <w:p w14:paraId="049DA567">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eastAsia" w:ascii="Times New Roman" w:hAnsi="Times New Roman" w:cs="Times New Roman"/>
                <w:b w:val="0"/>
                <w:bCs w:val="0"/>
                <w:spacing w:val="0"/>
                <w:kern w:val="21"/>
                <w:sz w:val="28"/>
                <w:szCs w:val="28"/>
                <w:highlight w:val="none"/>
                <w:lang w:val="en-US" w:eastAsia="zh-CN"/>
              </w:rPr>
            </w:pPr>
            <w:r>
              <w:rPr>
                <w:rFonts w:hint="eastAsia" w:ascii="Times New Roman" w:hAnsi="Times New Roman" w:cs="Times New Roman"/>
                <w:b w:val="0"/>
                <w:bCs w:val="0"/>
                <w:spacing w:val="0"/>
                <w:kern w:val="21"/>
                <w:sz w:val="28"/>
                <w:szCs w:val="28"/>
                <w:highlight w:val="none"/>
                <w:lang w:val="en-US" w:eastAsia="zh-CN"/>
              </w:rPr>
              <w:t>7.山东创能高比能高稳定富锂锰基正极材料研发项目</w:t>
            </w:r>
          </w:p>
          <w:p w14:paraId="051F29E6">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highlight w:val="none"/>
                <w:lang w:val="en-US" w:eastAsia="zh-CN"/>
              </w:rPr>
            </w:pPr>
            <w:r>
              <w:rPr>
                <w:rFonts w:hint="eastAsia" w:ascii="Times New Roman" w:hAnsi="Times New Roman" w:cs="Times New Roman"/>
                <w:b w:val="0"/>
                <w:bCs w:val="0"/>
                <w:spacing w:val="0"/>
                <w:kern w:val="21"/>
                <w:sz w:val="28"/>
                <w:szCs w:val="28"/>
                <w:highlight w:val="none"/>
                <w:lang w:val="en-US" w:eastAsia="zh-CN"/>
              </w:rPr>
              <w:t>8.源丰纺织绿色低碳多功能针织物高效淋漂装备及智能数字化新技术研发项目</w:t>
            </w:r>
          </w:p>
        </w:tc>
      </w:tr>
    </w:tbl>
    <w:p w14:paraId="222D1722">
      <w:pPr>
        <w:ind w:left="0" w:leftChars="0" w:firstLine="0" w:firstLineChars="0"/>
        <w:rPr>
          <w:rFonts w:hint="default" w:ascii="Times New Roman" w:hAnsi="Times New Roman" w:eastAsia="仿宋_GB2312" w:cs="Times New Roman"/>
          <w:kern w:val="21"/>
          <w:sz w:val="32"/>
          <w:szCs w:val="32"/>
          <w:lang w:val="en-US" w:eastAsia="zh-CN"/>
        </w:rPr>
      </w:pPr>
    </w:p>
    <w:p w14:paraId="6EF6B3F2">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0" w:firstLineChars="0"/>
        <w:jc w:val="center"/>
        <w:textAlignment w:val="auto"/>
        <w:outlineLvl w:val="0"/>
        <w:rPr>
          <w:rFonts w:hint="eastAsia" w:ascii="黑体" w:hAnsi="黑体" w:eastAsia="黑体" w:cs="黑体"/>
          <w:b w:val="0"/>
          <w:bCs/>
          <w:kern w:val="21"/>
          <w:sz w:val="32"/>
          <w:szCs w:val="32"/>
          <w:lang w:val="en-US" w:eastAsia="zh-CN"/>
        </w:rPr>
      </w:pPr>
      <w:bookmarkStart w:id="35" w:name="_Toc7619"/>
      <w:bookmarkStart w:id="36" w:name="_Toc27412"/>
      <w:bookmarkStart w:id="37" w:name="_Toc1152288412"/>
      <w:bookmarkStart w:id="38" w:name="_Toc18346"/>
      <w:r>
        <w:rPr>
          <w:rFonts w:hint="eastAsia" w:ascii="黑体" w:hAnsi="黑体" w:eastAsia="黑体" w:cs="黑体"/>
          <w:b w:val="0"/>
          <w:bCs/>
          <w:kern w:val="21"/>
          <w:sz w:val="32"/>
          <w:szCs w:val="32"/>
          <w:lang w:val="en-US" w:eastAsia="zh-CN"/>
        </w:rPr>
        <w:t>第六章  坚持消费投资双轮驱动，全方位扩大内需</w:t>
      </w:r>
      <w:bookmarkEnd w:id="35"/>
      <w:bookmarkEnd w:id="36"/>
      <w:bookmarkEnd w:id="37"/>
      <w:bookmarkEnd w:id="38"/>
    </w:p>
    <w:p w14:paraId="559EEF5A">
      <w:pPr>
        <w:keepNext w:val="0"/>
        <w:keepLines w:val="0"/>
        <w:pageBreakBefore w:val="0"/>
        <w:widowControl w:val="0"/>
        <w:kinsoku/>
        <w:wordWrap/>
        <w:overflowPunct/>
        <w:topLinePunct w:val="0"/>
        <w:autoSpaceDE/>
        <w:autoSpaceDN/>
        <w:bidi w:val="0"/>
        <w:adjustRightInd w:val="0"/>
        <w:snapToGrid w:val="0"/>
        <w:spacing w:before="313" w:beforeLines="100" w:line="580" w:lineRule="exact"/>
        <w:ind w:firstLine="640" w:firstLineChars="200"/>
        <w:textAlignment w:val="auto"/>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坚持惠民生和促消费、投资</w:t>
      </w:r>
      <w:r>
        <w:rPr>
          <w:rFonts w:hint="eastAsia" w:ascii="Times New Roman" w:hAnsi="Times New Roman" w:cs="Times New Roman"/>
          <w:b w:val="0"/>
          <w:bCs/>
          <w:sz w:val="32"/>
          <w:szCs w:val="32"/>
          <w:lang w:val="en-US" w:eastAsia="zh-CN"/>
        </w:rPr>
        <w:t>于</w:t>
      </w:r>
      <w:r>
        <w:rPr>
          <w:rFonts w:hint="default" w:ascii="Times New Roman" w:hAnsi="Times New Roman" w:cs="Times New Roman"/>
          <w:b w:val="0"/>
          <w:bCs/>
          <w:sz w:val="32"/>
          <w:szCs w:val="32"/>
          <w:lang w:val="en-US" w:eastAsia="zh-CN"/>
        </w:rPr>
        <w:t>人和投资于物相结合，实施消费投资驱动行动，大力提振消费，扩大有效投资，促进消费和投资、供给和消费良性互动。</w:t>
      </w:r>
    </w:p>
    <w:p w14:paraId="43A7E1F3">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39" w:name="_Toc278825189"/>
      <w:r>
        <w:rPr>
          <w:rFonts w:hint="eastAsia" w:ascii="楷体_GB2312" w:hAnsi="楷体_GB2312" w:eastAsia="楷体_GB2312" w:cs="楷体_GB2312"/>
          <w:kern w:val="21"/>
          <w:sz w:val="32"/>
          <w:szCs w:val="32"/>
          <w:highlight w:val="none"/>
          <w:lang w:val="en-US" w:eastAsia="zh-CN"/>
        </w:rPr>
        <w:t>第一节  推动消费提质扩容</w:t>
      </w:r>
      <w:bookmarkEnd w:id="39"/>
    </w:p>
    <w:p w14:paraId="63557A8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围绕升级消费载体、丰富消费业态、释放消费潜力，促进商品消费与服务消费协同发力、城市消费与乡村消费双向赋能，持续提升消费潜能。</w:t>
      </w:r>
    </w:p>
    <w:p w14:paraId="3A7E81D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highlight w:val="none"/>
          <w:lang w:val="en-US" w:eastAsia="zh-CN"/>
        </w:rPr>
      </w:pPr>
      <w:r>
        <w:rPr>
          <w:rFonts w:hint="eastAsia" w:ascii="楷体_GB2312" w:hAnsi="楷体_GB2312" w:eastAsia="楷体_GB2312" w:cs="楷体_GB2312"/>
          <w:b w:val="0"/>
          <w:bCs w:val="0"/>
          <w:highlight w:val="none"/>
          <w:lang w:val="en-US" w:eastAsia="zh-CN"/>
        </w:rPr>
        <w:t>升级消费供给体系。</w:t>
      </w:r>
      <w:r>
        <w:rPr>
          <w:rFonts w:hint="default" w:ascii="Times New Roman" w:hAnsi="Times New Roman" w:cs="Times New Roman"/>
          <w:bCs/>
          <w:sz w:val="32"/>
          <w:szCs w:val="32"/>
          <w:highlight w:val="none"/>
          <w:lang w:val="en-US" w:eastAsia="zh-CN"/>
        </w:rPr>
        <w:t>丰富品质消费业态，引进连锁商超、品牌便利店、精品餐饮等品质商业，升级商业综合体、核心商圈功能，打造一站式消费体验中心。完善农村消费网络，实施农村商业体系建设行动，完善“区—镇—村庄”三级消费网络，推动农资、日用品、家电家具等商品下乡和农产品进城双向流通，补齐农村消费短板。强化政策激励引导，举办“辣子鸡美食文化消费季”“伏羊节”等促销活动；引导金融机构推出“消费贷”等便民产品，降低消费支付门槛，激活消费潜力。</w:t>
      </w:r>
    </w:p>
    <w:p w14:paraId="341E896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lang w:val="en-US" w:eastAsia="zh-CN"/>
        </w:rPr>
        <w:t>激活重点消费领域。</w:t>
      </w:r>
      <w:r>
        <w:rPr>
          <w:rFonts w:hint="default" w:ascii="Times New Roman" w:hAnsi="Times New Roman" w:cs="Times New Roman"/>
          <w:bCs/>
          <w:sz w:val="32"/>
          <w:szCs w:val="32"/>
          <w:lang w:val="en-US" w:eastAsia="zh-CN"/>
        </w:rPr>
        <w:t>稳定大宗消费，落实汽车、家电“以旧换新”“绿色智能家电下乡”政策，支持新能源汽车充电设施布局，鼓励住房改善型消费。扩容服务消费，重点发展教育、文旅等服务消费，推动景区提质升级，扩大体育健身、文化娱乐等消费供给。聚焦重点群体消费，针对青年群体，培育潮流消费、数字消费场景；针对老年群体，支持养老服务中</w:t>
      </w:r>
      <w:r>
        <w:rPr>
          <w:rFonts w:hint="default" w:ascii="Times New Roman" w:hAnsi="Times New Roman" w:cs="Times New Roman"/>
          <w:bCs/>
          <w:spacing w:val="-6"/>
          <w:sz w:val="32"/>
          <w:szCs w:val="32"/>
          <w:lang w:val="en-US" w:eastAsia="zh-CN"/>
        </w:rPr>
        <w:t>心建设，开发适老化产品和“康养+旅游”“康养+医疗”套餐服务。</w:t>
      </w:r>
    </w:p>
    <w:p w14:paraId="5C166BC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lang w:val="en-US" w:eastAsia="zh-CN"/>
        </w:rPr>
        <w:t>拓展多元消费场景。</w:t>
      </w:r>
      <w:r>
        <w:rPr>
          <w:rFonts w:hint="default" w:ascii="Times New Roman" w:hAnsi="Times New Roman" w:cs="Times New Roman"/>
          <w:bCs/>
          <w:sz w:val="32"/>
          <w:szCs w:val="32"/>
          <w:lang w:val="en-US" w:eastAsia="zh-CN"/>
        </w:rPr>
        <w:t>壮大“四首经济”规模，落实“首店、首牌、首秀、首发”培育政策，对引进的国内外知名品牌首店给予定制化支持，每年新增首店30家以上。发展乡村休闲消费，结合乡村旅游、农耕体验、民俗文化，建设一批休闲农庄、采摘园、民宿集群，推出“乡村一日游”“周末微度假”等产品；串联乡村文旅资源，打造“生态休闲+农耕体验”精品线路，激活乡村消费潜力。培育新型消费业态，支持直播电商、社区团购、即时零售发展，建设农产品直播基地，培育本土网红主播，推动夫宇食品、银牛面业等企业开展“工厂直播”，引导实体商家“上云用数赋智”，实现线上线下融合消费。</w:t>
      </w:r>
    </w:p>
    <w:p w14:paraId="7AD52E1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lang w:val="en-US" w:eastAsia="zh-CN"/>
        </w:rPr>
        <w:t>优化消费环境保障。</w:t>
      </w:r>
      <w:r>
        <w:rPr>
          <w:rFonts w:hint="default" w:ascii="Times New Roman" w:hAnsi="Times New Roman" w:cs="Times New Roman"/>
          <w:bCs/>
          <w:sz w:val="32"/>
          <w:szCs w:val="32"/>
          <w:lang w:val="en-US" w:eastAsia="zh-CN"/>
        </w:rPr>
        <w:t>完善消费基础设施，优化商业网点布局，升级物流配送中心。优化消费场所无障碍设施、移动支付覆盖，提升消费便捷度。强化消费维权监管，健全12315投诉举报闭环处理机制，开展食品药品、家电家居、网络消费等重点领域质量监管，严厉打击假冒伪劣、价格欺诈、虚假宣传等行为；推进“信用+消费”融合，打造信用街区，开展亮码经营，营造安全放心的消费环境。</w:t>
      </w:r>
    </w:p>
    <w:p w14:paraId="4DDF1588">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40" w:name="_Toc1706213213"/>
      <w:r>
        <w:rPr>
          <w:rFonts w:hint="eastAsia" w:ascii="楷体_GB2312" w:hAnsi="楷体_GB2312" w:eastAsia="楷体_GB2312" w:cs="楷体_GB2312"/>
          <w:kern w:val="21"/>
          <w:sz w:val="32"/>
          <w:szCs w:val="32"/>
          <w:highlight w:val="none"/>
          <w:lang w:val="en-US" w:eastAsia="zh-CN"/>
        </w:rPr>
        <w:t>第二节  扩大有效投资</w:t>
      </w:r>
      <w:bookmarkEnd w:id="40"/>
    </w:p>
    <w:p w14:paraId="3D2B8CD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精准扩大有效投资、优化投资结构、激活投资活力，持续提升投资效益，保持投资合理增长。</w:t>
      </w:r>
    </w:p>
    <w:p w14:paraId="33C66C8E">
      <w:pPr>
        <w:keepNext w:val="0"/>
        <w:keepLines w:val="0"/>
        <w:pageBreakBefore w:val="0"/>
        <w:widowControl w:val="0"/>
        <w:kinsoku/>
        <w:wordWrap/>
        <w:overflowPunct/>
        <w:topLinePunct w:val="0"/>
        <w:autoSpaceDE/>
        <w:autoSpaceDN/>
        <w:bidi w:val="0"/>
        <w:adjustRightInd/>
        <w:snapToGrid w:val="0"/>
        <w:spacing w:line="580" w:lineRule="exact"/>
        <w:ind w:left="0" w:leftChars="0" w:right="0"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eastAsia" w:ascii="楷体_GB2312" w:hAnsi="楷体_GB2312" w:eastAsia="楷体_GB2312" w:cs="楷体_GB2312"/>
          <w:b w:val="0"/>
          <w:bCs w:val="0"/>
          <w:lang w:val="en-US" w:eastAsia="zh-CN"/>
        </w:rPr>
        <w:t>强化政府投资引导。</w:t>
      </w:r>
      <w:r>
        <w:rPr>
          <w:rFonts w:hint="default" w:ascii="Times New Roman" w:hAnsi="Times New Roman" w:eastAsia="仿宋_GB2312" w:cs="Times New Roman"/>
          <w:color w:val="auto"/>
          <w:sz w:val="32"/>
          <w:szCs w:val="32"/>
          <w:highlight w:val="none"/>
          <w:u w:val="none" w:color="auto"/>
          <w:lang w:val="en-US" w:eastAsia="zh-CN"/>
        </w:rPr>
        <w:t>健全政府投资有效带动社会投资体制机制，</w:t>
      </w:r>
      <w:r>
        <w:rPr>
          <w:rFonts w:hint="default" w:ascii="Times New Roman" w:hAnsi="Times New Roman" w:eastAsia="仿宋_GB2312" w:cs="Times New Roman"/>
          <w:color w:val="auto"/>
          <w:sz w:val="32"/>
          <w:szCs w:val="32"/>
        </w:rPr>
        <w:t>聚焦“两重”、城市更新、民生改善等领域，谋划实施一批重大项目。</w:t>
      </w:r>
      <w:r>
        <w:rPr>
          <w:rFonts w:hint="default" w:ascii="Times New Roman" w:hAnsi="Times New Roman" w:eastAsia="仿宋_GB2312" w:cs="Times New Roman"/>
          <w:color w:val="auto"/>
          <w:sz w:val="32"/>
          <w:szCs w:val="32"/>
          <w:highlight w:val="none"/>
          <w:u w:val="none" w:color="auto"/>
          <w:lang w:val="en-US" w:eastAsia="zh-CN"/>
        </w:rPr>
        <w:t>注重</w:t>
      </w:r>
      <w:r>
        <w:rPr>
          <w:rFonts w:hint="default" w:ascii="Times New Roman" w:hAnsi="Times New Roman" w:eastAsia="仿宋_GB2312" w:cs="Times New Roman"/>
          <w:color w:val="auto"/>
          <w:sz w:val="32"/>
          <w:szCs w:val="32"/>
          <w:highlight w:val="none"/>
          <w:u w:val="none" w:color="auto"/>
        </w:rPr>
        <w:t>中央</w:t>
      </w:r>
      <w:r>
        <w:rPr>
          <w:rFonts w:hint="default" w:ascii="Times New Roman" w:hAnsi="Times New Roman" w:eastAsia="仿宋_GB2312" w:cs="Times New Roman"/>
          <w:color w:val="auto"/>
          <w:sz w:val="32"/>
          <w:szCs w:val="32"/>
          <w:highlight w:val="none"/>
          <w:u w:val="none" w:color="auto"/>
          <w:lang w:val="en-US" w:eastAsia="zh-CN"/>
        </w:rPr>
        <w:t>和</w:t>
      </w:r>
      <w:r>
        <w:rPr>
          <w:rFonts w:hint="default" w:ascii="Times New Roman" w:hAnsi="Times New Roman" w:eastAsia="仿宋_GB2312" w:cs="Times New Roman"/>
          <w:color w:val="auto"/>
          <w:sz w:val="32"/>
          <w:szCs w:val="32"/>
          <w:highlight w:val="none"/>
          <w:u w:val="none" w:color="auto"/>
        </w:rPr>
        <w:t>省预算内资金</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val="en-US" w:eastAsia="zh-CN"/>
        </w:rPr>
        <w:t>地方政府</w:t>
      </w:r>
      <w:r>
        <w:rPr>
          <w:rFonts w:hint="default" w:ascii="Times New Roman" w:hAnsi="Times New Roman" w:eastAsia="仿宋_GB2312" w:cs="Times New Roman"/>
          <w:color w:val="auto"/>
          <w:sz w:val="32"/>
          <w:szCs w:val="32"/>
          <w:highlight w:val="none"/>
          <w:u w:val="none" w:color="auto"/>
        </w:rPr>
        <w:t>专项债券</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val="en-US" w:eastAsia="zh-CN"/>
        </w:rPr>
        <w:t>超长期特别国债、政策性金融工具</w:t>
      </w:r>
      <w:r>
        <w:rPr>
          <w:rFonts w:hint="default" w:ascii="Times New Roman" w:hAnsi="Times New Roman" w:eastAsia="仿宋_GB2312" w:cs="Times New Roman"/>
          <w:color w:val="auto"/>
          <w:sz w:val="32"/>
          <w:szCs w:val="32"/>
          <w:highlight w:val="none"/>
          <w:u w:val="none" w:color="auto"/>
        </w:rPr>
        <w:t>等政策性资金争取，</w:t>
      </w:r>
      <w:r>
        <w:rPr>
          <w:rFonts w:hint="default" w:ascii="Times New Roman" w:hAnsi="Times New Roman" w:eastAsia="仿宋_GB2312" w:cs="Times New Roman"/>
          <w:color w:val="auto"/>
          <w:sz w:val="32"/>
          <w:szCs w:val="32"/>
          <w:highlight w:val="none"/>
          <w:u w:val="none" w:color="auto"/>
          <w:lang w:val="en-US" w:eastAsia="zh-CN"/>
        </w:rPr>
        <w:t>规范实施政府和社会资本合作新机制</w:t>
      </w:r>
      <w:r>
        <w:rPr>
          <w:rFonts w:hint="default" w:ascii="Times New Roman" w:hAnsi="Times New Roman" w:eastAsia="仿宋_GB2312" w:cs="Times New Roman"/>
          <w:color w:val="auto"/>
          <w:sz w:val="32"/>
          <w:szCs w:val="32"/>
          <w:highlight w:val="none"/>
          <w:u w:val="none" w:color="auto"/>
        </w:rPr>
        <w:t>。</w:t>
      </w:r>
      <w:r>
        <w:rPr>
          <w:rFonts w:hint="default" w:ascii="Times New Roman" w:hAnsi="Times New Roman" w:cs="Times New Roman"/>
          <w:color w:val="auto"/>
          <w:sz w:val="32"/>
          <w:szCs w:val="32"/>
          <w:lang w:val="en-US" w:eastAsia="zh-CN"/>
        </w:rPr>
        <w:t>加强项目评估论证，健全“1+1+N”项目会商机制，提高投资效益。</w:t>
      </w:r>
      <w:r>
        <w:rPr>
          <w:rFonts w:hint="default" w:ascii="Times New Roman" w:hAnsi="Times New Roman" w:cs="Times New Roman"/>
          <w:color w:val="auto"/>
          <w:sz w:val="32"/>
          <w:szCs w:val="32"/>
          <w:highlight w:val="none"/>
          <w:u w:val="none" w:color="auto"/>
          <w:lang w:val="en-US" w:eastAsia="zh-CN"/>
        </w:rPr>
        <w:t>发挥项目对投资拉动作用，以省市区三级重点为抓手，深化重点项目全生命周期管理服务，构建区级领导、区直部门单位、项目推进专员、项目建设单位“四位一体”项目推进机制，加快推动项目建设，形成更多有效投资。</w:t>
      </w:r>
      <w:r>
        <w:rPr>
          <w:rFonts w:hint="default" w:ascii="Times New Roman" w:hAnsi="Times New Roman" w:eastAsia="仿宋_GB2312" w:cs="Times New Roman"/>
          <w:color w:val="auto"/>
          <w:sz w:val="32"/>
          <w:szCs w:val="32"/>
          <w:highlight w:val="none"/>
          <w:u w:val="none" w:color="auto"/>
          <w:lang w:eastAsia="zh-CN"/>
        </w:rPr>
        <w:t>提</w:t>
      </w:r>
      <w:r>
        <w:rPr>
          <w:rFonts w:hint="default" w:ascii="Times New Roman" w:hAnsi="Times New Roman" w:eastAsia="仿宋_GB2312" w:cs="Times New Roman"/>
          <w:color w:val="auto"/>
          <w:sz w:val="32"/>
          <w:szCs w:val="32"/>
          <w:highlight w:val="none"/>
          <w:u w:val="none" w:color="auto"/>
          <w:lang w:val="en-US" w:eastAsia="zh-CN"/>
        </w:rPr>
        <w:t>高</w:t>
      </w:r>
      <w:r>
        <w:rPr>
          <w:rFonts w:hint="default" w:ascii="Times New Roman" w:hAnsi="Times New Roman" w:eastAsia="仿宋_GB2312" w:cs="Times New Roman"/>
          <w:color w:val="auto"/>
          <w:sz w:val="32"/>
          <w:szCs w:val="32"/>
          <w:highlight w:val="none"/>
          <w:u w:val="none" w:color="auto"/>
          <w:lang w:eastAsia="zh-CN"/>
        </w:rPr>
        <w:t>民生类政府投资比重</w:t>
      </w:r>
      <w:r>
        <w:rPr>
          <w:rFonts w:hint="default" w:ascii="Times New Roman" w:hAnsi="Times New Roman" w:eastAsia="仿宋_GB2312" w:cs="Times New Roman"/>
          <w:color w:val="auto"/>
          <w:sz w:val="32"/>
          <w:szCs w:val="32"/>
          <w:highlight w:val="none"/>
          <w:u w:val="none" w:color="auto"/>
        </w:rPr>
        <w:t>，重点支持社会公益服务、公共基础设施、城市更新、民生保障等薄弱领域补短板。</w:t>
      </w:r>
    </w:p>
    <w:p w14:paraId="57567D8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highlight w:val="none"/>
          <w:u w:val="none" w:color="auto"/>
        </w:rPr>
      </w:pPr>
      <w:r>
        <w:rPr>
          <w:rFonts w:hint="eastAsia" w:ascii="楷体_GB2312" w:hAnsi="楷体_GB2312" w:eastAsia="楷体_GB2312" w:cs="楷体_GB2312"/>
          <w:b w:val="0"/>
          <w:bCs w:val="0"/>
          <w:lang w:val="en-US" w:eastAsia="zh-CN"/>
        </w:rPr>
        <w:t>激发民间投资活力。</w:t>
      </w:r>
      <w:r>
        <w:rPr>
          <w:rFonts w:hint="default" w:ascii="Times New Roman" w:hAnsi="Times New Roman" w:eastAsia="仿宋_GB2312" w:cs="Times New Roman"/>
          <w:b w:val="0"/>
          <w:bCs w:val="0"/>
          <w:color w:val="auto"/>
          <w:sz w:val="32"/>
          <w:szCs w:val="32"/>
          <w:highlight w:val="none"/>
          <w:u w:val="none" w:color="auto"/>
          <w:shd w:val="clear" w:color="auto" w:fill="auto"/>
        </w:rPr>
        <w:t>强化民间投资项目储备</w:t>
      </w:r>
      <w:r>
        <w:rPr>
          <w:rFonts w:hint="default" w:ascii="Times New Roman" w:hAnsi="Times New Roman" w:eastAsia="仿宋_GB2312" w:cs="Times New Roman"/>
          <w:b w:val="0"/>
          <w:bCs w:val="0"/>
          <w:color w:val="auto"/>
          <w:sz w:val="32"/>
          <w:szCs w:val="32"/>
          <w:highlight w:val="none"/>
          <w:u w:val="none" w:color="auto"/>
          <w:shd w:val="clear" w:color="auto" w:fill="auto"/>
          <w:lang w:eastAsia="zh-CN"/>
        </w:rPr>
        <w:t>，</w:t>
      </w:r>
      <w:r>
        <w:rPr>
          <w:rFonts w:hint="default" w:ascii="Times New Roman" w:hAnsi="Times New Roman" w:eastAsia="仿宋_GB2312" w:cs="Times New Roman"/>
          <w:b w:val="0"/>
          <w:bCs w:val="0"/>
          <w:color w:val="auto"/>
          <w:sz w:val="32"/>
          <w:szCs w:val="32"/>
          <w:highlight w:val="none"/>
          <w:u w:val="none" w:color="auto"/>
        </w:rPr>
        <w:t>建立</w:t>
      </w:r>
      <w:r>
        <w:rPr>
          <w:rFonts w:hint="default" w:ascii="Times New Roman" w:hAnsi="Times New Roman" w:eastAsia="仿宋_GB2312" w:cs="Times New Roman"/>
          <w:b w:val="0"/>
          <w:bCs w:val="0"/>
          <w:color w:val="auto"/>
          <w:sz w:val="32"/>
          <w:szCs w:val="32"/>
          <w:highlight w:val="none"/>
          <w:u w:val="none" w:color="auto"/>
          <w:lang w:val="en-US" w:eastAsia="zh-CN"/>
        </w:rPr>
        <w:t>健全</w:t>
      </w:r>
      <w:r>
        <w:rPr>
          <w:rFonts w:hint="default" w:ascii="Times New Roman" w:hAnsi="Times New Roman" w:eastAsia="仿宋_GB2312" w:cs="Times New Roman"/>
          <w:color w:val="auto"/>
          <w:sz w:val="32"/>
          <w:szCs w:val="32"/>
          <w:highlight w:val="none"/>
          <w:u w:val="none" w:color="auto"/>
        </w:rPr>
        <w:t>民间投资重点项目库，推进符合条件的</w:t>
      </w:r>
      <w:r>
        <w:rPr>
          <w:rFonts w:hint="default" w:ascii="Times New Roman" w:hAnsi="Times New Roman" w:eastAsia="仿宋_GB2312" w:cs="Times New Roman"/>
          <w:color w:val="auto"/>
          <w:sz w:val="32"/>
          <w:szCs w:val="32"/>
          <w:highlight w:val="none"/>
          <w:u w:val="none" w:color="auto"/>
          <w:lang w:eastAsia="zh-CN"/>
        </w:rPr>
        <w:t>民间</w:t>
      </w:r>
      <w:r>
        <w:rPr>
          <w:rFonts w:hint="default" w:ascii="Times New Roman" w:hAnsi="Times New Roman" w:eastAsia="仿宋_GB2312" w:cs="Times New Roman"/>
          <w:color w:val="auto"/>
          <w:sz w:val="32"/>
          <w:szCs w:val="32"/>
          <w:highlight w:val="none"/>
          <w:u w:val="none" w:color="auto"/>
        </w:rPr>
        <w:t>投资项目纳入省、市</w:t>
      </w:r>
      <w:r>
        <w:rPr>
          <w:rFonts w:hint="default" w:ascii="Times New Roman" w:hAnsi="Times New Roman" w:cs="Times New Roman"/>
          <w:color w:val="auto"/>
          <w:sz w:val="32"/>
          <w:szCs w:val="32"/>
          <w:highlight w:val="none"/>
          <w:u w:val="none" w:color="auto"/>
          <w:lang w:eastAsia="zh-CN"/>
        </w:rPr>
        <w:t>、</w:t>
      </w:r>
      <w:r>
        <w:rPr>
          <w:rFonts w:hint="default" w:ascii="Times New Roman" w:hAnsi="Times New Roman" w:cs="Times New Roman"/>
          <w:color w:val="auto"/>
          <w:sz w:val="32"/>
          <w:szCs w:val="32"/>
          <w:highlight w:val="none"/>
          <w:u w:val="none" w:color="auto"/>
          <w:lang w:val="en-US" w:eastAsia="zh-CN"/>
        </w:rPr>
        <w:t>区</w:t>
      </w:r>
      <w:r>
        <w:rPr>
          <w:rFonts w:hint="default" w:ascii="Times New Roman" w:hAnsi="Times New Roman" w:eastAsia="仿宋_GB2312" w:cs="Times New Roman"/>
          <w:color w:val="auto"/>
          <w:sz w:val="32"/>
          <w:szCs w:val="32"/>
          <w:highlight w:val="none"/>
          <w:u w:val="none" w:color="auto"/>
        </w:rPr>
        <w:t>重点项目名单。常态化开展民间资本项目推介，</w:t>
      </w:r>
      <w:r>
        <w:rPr>
          <w:rFonts w:hint="default" w:ascii="Times New Roman" w:hAnsi="Times New Roman" w:eastAsia="仿宋_GB2312" w:cs="Times New Roman"/>
          <w:snapToGrid w:val="0"/>
          <w:color w:val="auto"/>
          <w:kern w:val="0"/>
          <w:sz w:val="32"/>
          <w:szCs w:val="32"/>
          <w:highlight w:val="none"/>
          <w:u w:val="none" w:color="auto"/>
        </w:rPr>
        <w:t>聚焦交通运输、能源、水利、</w:t>
      </w:r>
      <w:r>
        <w:rPr>
          <w:rFonts w:hint="default" w:ascii="Times New Roman" w:hAnsi="Times New Roman" w:eastAsia="仿宋_GB2312" w:cs="Times New Roman"/>
          <w:snapToGrid w:val="0"/>
          <w:color w:val="auto"/>
          <w:kern w:val="0"/>
          <w:sz w:val="32"/>
          <w:szCs w:val="32"/>
          <w:highlight w:val="none"/>
          <w:u w:val="none" w:color="auto"/>
          <w:lang w:val="en-US" w:eastAsia="zh-CN"/>
        </w:rPr>
        <w:t>城市更新</w:t>
      </w:r>
      <w:r>
        <w:rPr>
          <w:rFonts w:hint="default" w:ascii="Times New Roman" w:hAnsi="Times New Roman" w:eastAsia="仿宋_GB2312" w:cs="Times New Roman"/>
          <w:snapToGrid w:val="0"/>
          <w:color w:val="auto"/>
          <w:kern w:val="0"/>
          <w:sz w:val="32"/>
          <w:szCs w:val="32"/>
          <w:highlight w:val="none"/>
          <w:u w:val="none" w:color="auto"/>
        </w:rPr>
        <w:t>等领域，支持民营企业参与</w:t>
      </w:r>
      <w:r>
        <w:rPr>
          <w:rFonts w:hint="default" w:ascii="Times New Roman" w:hAnsi="Times New Roman" w:eastAsia="仿宋_GB2312" w:cs="Times New Roman"/>
          <w:snapToGrid w:val="0"/>
          <w:color w:val="auto"/>
          <w:kern w:val="0"/>
          <w:sz w:val="32"/>
          <w:szCs w:val="32"/>
          <w:highlight w:val="none"/>
          <w:u w:val="none" w:color="auto"/>
          <w:lang w:eastAsia="zh-CN"/>
        </w:rPr>
        <w:t>“</w:t>
      </w:r>
      <w:r>
        <w:rPr>
          <w:rFonts w:hint="default" w:ascii="Times New Roman" w:hAnsi="Times New Roman" w:eastAsia="仿宋_GB2312" w:cs="Times New Roman"/>
          <w:snapToGrid w:val="0"/>
          <w:color w:val="auto"/>
          <w:kern w:val="0"/>
          <w:sz w:val="32"/>
          <w:szCs w:val="32"/>
          <w:highlight w:val="none"/>
          <w:u w:val="none" w:color="auto"/>
        </w:rPr>
        <w:t>两重</w:t>
      </w:r>
      <w:r>
        <w:rPr>
          <w:rFonts w:hint="default" w:ascii="Times New Roman" w:hAnsi="Times New Roman" w:eastAsia="仿宋_GB2312" w:cs="Times New Roman"/>
          <w:snapToGrid w:val="0"/>
          <w:color w:val="auto"/>
          <w:kern w:val="0"/>
          <w:sz w:val="32"/>
          <w:szCs w:val="32"/>
          <w:highlight w:val="none"/>
          <w:u w:val="none" w:color="auto"/>
          <w:lang w:eastAsia="zh-CN"/>
        </w:rPr>
        <w:t>”</w:t>
      </w:r>
      <w:r>
        <w:rPr>
          <w:rFonts w:hint="default" w:ascii="Times New Roman" w:hAnsi="Times New Roman" w:eastAsia="仿宋_GB2312" w:cs="Times New Roman"/>
          <w:snapToGrid w:val="0"/>
          <w:color w:val="auto"/>
          <w:kern w:val="0"/>
          <w:sz w:val="32"/>
          <w:szCs w:val="32"/>
          <w:highlight w:val="none"/>
          <w:u w:val="none" w:color="auto"/>
        </w:rPr>
        <w:t>建设和</w:t>
      </w:r>
      <w:r>
        <w:rPr>
          <w:rFonts w:hint="default" w:ascii="Times New Roman" w:hAnsi="Times New Roman" w:eastAsia="仿宋_GB2312" w:cs="Times New Roman"/>
          <w:snapToGrid w:val="0"/>
          <w:color w:val="auto"/>
          <w:kern w:val="0"/>
          <w:sz w:val="32"/>
          <w:szCs w:val="32"/>
          <w:highlight w:val="none"/>
          <w:u w:val="none" w:color="auto"/>
          <w:lang w:eastAsia="zh-CN"/>
        </w:rPr>
        <w:t>“</w:t>
      </w:r>
      <w:r>
        <w:rPr>
          <w:rFonts w:hint="default" w:ascii="Times New Roman" w:hAnsi="Times New Roman" w:eastAsia="仿宋_GB2312" w:cs="Times New Roman"/>
          <w:snapToGrid w:val="0"/>
          <w:color w:val="auto"/>
          <w:kern w:val="0"/>
          <w:sz w:val="32"/>
          <w:szCs w:val="32"/>
          <w:highlight w:val="none"/>
          <w:u w:val="none" w:color="auto"/>
        </w:rPr>
        <w:t>两新</w:t>
      </w:r>
      <w:r>
        <w:rPr>
          <w:rFonts w:hint="default" w:ascii="Times New Roman" w:hAnsi="Times New Roman" w:eastAsia="仿宋_GB2312" w:cs="Times New Roman"/>
          <w:snapToGrid w:val="0"/>
          <w:color w:val="auto"/>
          <w:kern w:val="0"/>
          <w:sz w:val="32"/>
          <w:szCs w:val="32"/>
          <w:highlight w:val="none"/>
          <w:u w:val="none" w:color="auto"/>
          <w:lang w:eastAsia="zh-CN"/>
        </w:rPr>
        <w:t>”</w:t>
      </w:r>
      <w:r>
        <w:rPr>
          <w:rFonts w:hint="default" w:ascii="Times New Roman" w:hAnsi="Times New Roman" w:eastAsia="仿宋_GB2312" w:cs="Times New Roman"/>
          <w:snapToGrid w:val="0"/>
          <w:color w:val="auto"/>
          <w:kern w:val="0"/>
          <w:sz w:val="32"/>
          <w:szCs w:val="32"/>
          <w:highlight w:val="none"/>
          <w:u w:val="none" w:color="auto"/>
        </w:rPr>
        <w:t>工作</w:t>
      </w:r>
      <w:r>
        <w:rPr>
          <w:rFonts w:hint="default" w:ascii="Times New Roman" w:hAnsi="Times New Roman" w:eastAsia="仿宋_GB2312" w:cs="Times New Roman"/>
          <w:snapToGrid w:val="0"/>
          <w:color w:val="auto"/>
          <w:kern w:val="0"/>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稳步提升民间投资在固定资产投资中的占比。引导民间资本投向低空经济、新能源、现代</w:t>
      </w:r>
      <w:r>
        <w:rPr>
          <w:rFonts w:hint="default" w:ascii="Times New Roman" w:hAnsi="Times New Roman" w:cs="Times New Roman"/>
          <w:color w:val="auto"/>
          <w:sz w:val="32"/>
          <w:szCs w:val="32"/>
          <w:highlight w:val="none"/>
          <w:u w:val="none" w:color="auto"/>
          <w:lang w:val="en-US" w:eastAsia="zh-CN"/>
        </w:rPr>
        <w:t>服务业</w:t>
      </w:r>
      <w:r>
        <w:rPr>
          <w:rFonts w:hint="default" w:ascii="Times New Roman" w:hAnsi="Times New Roman" w:eastAsia="仿宋_GB2312" w:cs="Times New Roman"/>
          <w:color w:val="auto"/>
          <w:sz w:val="32"/>
          <w:szCs w:val="32"/>
          <w:highlight w:val="none"/>
          <w:u w:val="none" w:color="auto"/>
        </w:rPr>
        <w:t>等领域，持续优化公平竞争的市场环境，清理破除制约民间投资的各类隐性壁垒，激发民营经济发展活力。</w:t>
      </w:r>
    </w:p>
    <w:p w14:paraId="15842C7A">
      <w:pPr>
        <w:keepNext w:val="0"/>
        <w:keepLines w:val="0"/>
        <w:pageBreakBefore w:val="0"/>
        <w:widowControl w:val="0"/>
        <w:kinsoku/>
        <w:wordWrap/>
        <w:overflowPunct/>
        <w:topLinePunct w:val="0"/>
        <w:autoSpaceDE/>
        <w:autoSpaceDN/>
        <w:bidi w:val="0"/>
        <w:adjustRightInd/>
        <w:snapToGrid w:val="0"/>
        <w:spacing w:line="580" w:lineRule="exact"/>
        <w:ind w:left="0" w:leftChars="0" w:right="0" w:firstLine="640" w:firstLineChars="200"/>
        <w:jc w:val="both"/>
        <w:textAlignment w:val="auto"/>
        <w:rPr>
          <w:rFonts w:hint="default" w:ascii="Times New Roman" w:hAnsi="Times New Roman" w:eastAsia="仿宋_GB2312" w:cs="Times New Roman"/>
          <w:color w:val="auto"/>
          <w:sz w:val="32"/>
          <w:szCs w:val="32"/>
          <w:highlight w:val="none"/>
          <w:u w:val="none" w:color="auto"/>
        </w:rPr>
      </w:pPr>
      <w:r>
        <w:rPr>
          <w:rFonts w:hint="eastAsia" w:ascii="楷体_GB2312" w:hAnsi="楷体_GB2312" w:eastAsia="楷体_GB2312" w:cs="楷体_GB2312"/>
          <w:b w:val="0"/>
          <w:bCs w:val="0"/>
          <w:lang w:val="en-US" w:eastAsia="zh-CN"/>
        </w:rPr>
        <w:t>加强项目要素保障。</w:t>
      </w:r>
      <w:r>
        <w:rPr>
          <w:rFonts w:hint="default" w:ascii="Times New Roman" w:hAnsi="Times New Roman" w:eastAsia="仿宋_GB2312" w:cs="Times New Roman"/>
          <w:b w:val="0"/>
          <w:bCs w:val="0"/>
          <w:color w:val="auto"/>
          <w:sz w:val="32"/>
          <w:szCs w:val="32"/>
          <w:highlight w:val="none"/>
          <w:u w:val="none" w:color="auto"/>
        </w:rPr>
        <w:t>坚持</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要素跟着项目走、服务围着项目转</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，梳理研判项目土地、资金、</w:t>
      </w:r>
      <w:r>
        <w:rPr>
          <w:rFonts w:hint="default" w:ascii="Times New Roman" w:hAnsi="Times New Roman" w:eastAsia="仿宋_GB2312" w:cs="Times New Roman"/>
          <w:color w:val="auto"/>
          <w:sz w:val="32"/>
          <w:szCs w:val="32"/>
          <w:highlight w:val="none"/>
          <w:u w:val="none" w:color="auto"/>
          <w:lang w:val="en-US" w:eastAsia="zh-CN"/>
        </w:rPr>
        <w:t>水资源、</w:t>
      </w:r>
      <w:r>
        <w:rPr>
          <w:rFonts w:hint="default" w:ascii="Times New Roman" w:hAnsi="Times New Roman" w:eastAsia="仿宋_GB2312" w:cs="Times New Roman"/>
          <w:color w:val="auto"/>
          <w:sz w:val="32"/>
          <w:szCs w:val="32"/>
          <w:highlight w:val="none"/>
          <w:u w:val="none" w:color="auto"/>
        </w:rPr>
        <w:t>能耗</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val="en-US" w:eastAsia="zh-CN"/>
        </w:rPr>
        <w:t>煤耗、污染物排放</w:t>
      </w:r>
      <w:r>
        <w:rPr>
          <w:rFonts w:hint="default" w:ascii="Times New Roman" w:hAnsi="Times New Roman" w:eastAsia="仿宋_GB2312" w:cs="Times New Roman"/>
          <w:color w:val="auto"/>
          <w:sz w:val="32"/>
          <w:szCs w:val="32"/>
          <w:highlight w:val="none"/>
          <w:u w:val="none" w:color="auto"/>
        </w:rPr>
        <w:t>等要素需求，强化资源统筹调配，把有限资源要素配置到大项目、好项目上，实现资源要素精准化、差异化配置。</w:t>
      </w:r>
      <w:r>
        <w:rPr>
          <w:rFonts w:hint="default" w:ascii="Times New Roman" w:hAnsi="Times New Roman" w:cs="Times New Roman"/>
          <w:color w:val="auto"/>
          <w:sz w:val="32"/>
          <w:szCs w:val="32"/>
          <w:highlight w:val="none"/>
          <w:u w:val="none" w:color="auto"/>
          <w:lang w:val="en-US" w:eastAsia="zh-CN"/>
        </w:rPr>
        <w:t>深化</w:t>
      </w:r>
      <w:r>
        <w:rPr>
          <w:rFonts w:hint="default" w:ascii="Times New Roman" w:hAnsi="Times New Roman" w:eastAsia="仿宋_GB2312" w:cs="Times New Roman"/>
          <w:color w:val="auto"/>
          <w:sz w:val="32"/>
          <w:szCs w:val="32"/>
          <w:highlight w:val="none"/>
          <w:u w:val="none" w:color="auto"/>
          <w:lang w:val="en-US" w:eastAsia="zh-CN"/>
        </w:rPr>
        <w:t>“函证并行”审批改革，</w:t>
      </w:r>
      <w:r>
        <w:rPr>
          <w:rFonts w:hint="default" w:ascii="Times New Roman" w:hAnsi="Times New Roman" w:eastAsia="仿宋_GB2312" w:cs="Times New Roman"/>
          <w:color w:val="auto"/>
          <w:sz w:val="32"/>
          <w:szCs w:val="32"/>
          <w:highlight w:val="none"/>
          <w:u w:val="none" w:color="auto"/>
        </w:rPr>
        <w:t>推</w:t>
      </w:r>
      <w:r>
        <w:rPr>
          <w:rFonts w:hint="default" w:ascii="Times New Roman" w:hAnsi="Times New Roman" w:eastAsia="仿宋_GB2312" w:cs="Times New Roman"/>
          <w:color w:val="auto"/>
          <w:sz w:val="32"/>
          <w:szCs w:val="32"/>
          <w:highlight w:val="none"/>
          <w:u w:val="none" w:color="auto"/>
          <w:lang w:eastAsia="zh-CN"/>
        </w:rPr>
        <w:t>行“并联审批、同步办理”</w:t>
      </w:r>
      <w:r>
        <w:rPr>
          <w:rFonts w:hint="default" w:ascii="Times New Roman" w:hAnsi="Times New Roman" w:eastAsia="仿宋_GB2312" w:cs="Times New Roman"/>
          <w:color w:val="auto"/>
          <w:sz w:val="32"/>
          <w:szCs w:val="32"/>
          <w:highlight w:val="none"/>
          <w:u w:val="none" w:color="auto"/>
        </w:rPr>
        <w:t>，</w:t>
      </w:r>
      <w:r>
        <w:rPr>
          <w:rFonts w:hint="default" w:ascii="Times New Roman" w:hAnsi="Times New Roman" w:cs="Times New Roman"/>
          <w:color w:val="auto"/>
          <w:sz w:val="32"/>
          <w:szCs w:val="32"/>
          <w:highlight w:val="none"/>
          <w:u w:val="none" w:color="auto"/>
          <w:lang w:val="en-US" w:eastAsia="zh-CN"/>
        </w:rPr>
        <w:t>推动</w:t>
      </w:r>
      <w:r>
        <w:rPr>
          <w:rFonts w:hint="default" w:ascii="Times New Roman" w:hAnsi="Times New Roman" w:eastAsia="仿宋_GB2312" w:cs="Times New Roman"/>
          <w:color w:val="auto"/>
          <w:sz w:val="32"/>
          <w:szCs w:val="32"/>
          <w:highlight w:val="none"/>
          <w:u w:val="none" w:color="auto"/>
        </w:rPr>
        <w:t>跨部门数据共享与业务协同，压缩审批服务时限。优化环评管理，开辟重大项目环评绿色通道，推动环评与排污许可协同，开展清单式便捷服务。</w:t>
      </w:r>
    </w:p>
    <w:p w14:paraId="5A31983E">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41" w:name="_Toc819821651"/>
      <w:r>
        <w:rPr>
          <w:rFonts w:hint="eastAsia" w:ascii="楷体_GB2312" w:hAnsi="楷体_GB2312" w:eastAsia="楷体_GB2312" w:cs="楷体_GB2312"/>
          <w:kern w:val="21"/>
          <w:sz w:val="32"/>
          <w:szCs w:val="32"/>
          <w:highlight w:val="none"/>
          <w:lang w:val="en-US" w:eastAsia="zh-CN"/>
        </w:rPr>
        <w:t>第三节  提升基础设施支撑能力</w:t>
      </w:r>
      <w:bookmarkEnd w:id="41"/>
    </w:p>
    <w:p w14:paraId="2807B96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科学谋划现代基础设施建设，着力构建互联互通、智能高效、安全韧性的现代化基础设施体系，以基础设施提质赋能高质量发展。</w:t>
      </w:r>
    </w:p>
    <w:p w14:paraId="76E9C68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lang w:val="en-US" w:eastAsia="zh-CN"/>
        </w:rPr>
        <w:t>完善交通物流设施。</w:t>
      </w:r>
      <w:r>
        <w:rPr>
          <w:rFonts w:hint="default" w:ascii="Times New Roman" w:hAnsi="Times New Roman" w:eastAsia="仿宋_GB2312" w:cs="Times New Roman"/>
          <w:color w:val="auto"/>
          <w:sz w:val="32"/>
          <w:szCs w:val="32"/>
          <w:highlight w:val="none"/>
          <w:u w:val="none" w:color="auto"/>
          <w:lang w:val="en-US" w:eastAsia="zh-CN"/>
        </w:rPr>
        <w:t>开工建设齐陶路，</w:t>
      </w:r>
      <w:r>
        <w:rPr>
          <w:rFonts w:hint="default" w:ascii="Times New Roman" w:hAnsi="Times New Roman" w:cs="Times New Roman"/>
          <w:color w:val="auto"/>
          <w:sz w:val="32"/>
          <w:szCs w:val="32"/>
          <w:highlight w:val="none"/>
          <w:u w:val="none" w:color="auto"/>
          <w:lang w:val="en-US" w:eastAsia="zh-CN"/>
        </w:rPr>
        <w:t>谋划实施郯薛路改线，提高</w:t>
      </w:r>
      <w:r>
        <w:rPr>
          <w:rFonts w:hint="default" w:ascii="Times New Roman" w:hAnsi="Times New Roman" w:eastAsia="仿宋_GB2312" w:cs="Times New Roman"/>
          <w:b w:val="0"/>
          <w:color w:val="auto"/>
          <w:kern w:val="2"/>
          <w:sz w:val="32"/>
          <w:szCs w:val="24"/>
          <w:highlight w:val="none"/>
          <w:lang w:val="en-US" w:eastAsia="zh-CN" w:bidi="ar-SA"/>
        </w:rPr>
        <w:t>长河港业铁路专用线</w:t>
      </w:r>
      <w:r>
        <w:rPr>
          <w:rFonts w:hint="default" w:ascii="Times New Roman" w:hAnsi="Times New Roman" w:cs="Times New Roman"/>
          <w:b w:val="0"/>
          <w:color w:val="auto"/>
          <w:kern w:val="2"/>
          <w:sz w:val="32"/>
          <w:szCs w:val="24"/>
          <w:highlight w:val="none"/>
          <w:lang w:val="en-US" w:eastAsia="zh-CN" w:bidi="ar-SA"/>
        </w:rPr>
        <w:t>运营水平，提升区域交通网络的通达性和运输效率。完善区内交通设施，</w:t>
      </w:r>
      <w:r>
        <w:rPr>
          <w:rFonts w:hint="default" w:ascii="Times New Roman" w:hAnsi="Times New Roman" w:cs="Times New Roman"/>
          <w:bCs/>
          <w:sz w:val="32"/>
          <w:szCs w:val="32"/>
          <w:lang w:val="en-US" w:eastAsia="zh-CN"/>
        </w:rPr>
        <w:t>提质改造“四好农村路”，完善城乡公交一体化网络，实现村组路与城区路网无缝衔接，畅通城乡物资与人员流动。升级物流配套设施，推进鲁南智能冷链物流产业园、弘祥冷链智慧物流园等项目，构建“仓储-运输-配送”一体化冷链物流体系。</w:t>
      </w:r>
    </w:p>
    <w:p w14:paraId="570CFC7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lang w:val="en-US" w:eastAsia="zh-CN"/>
        </w:rPr>
        <w:t>完善能源通信设施。</w:t>
      </w:r>
      <w:r>
        <w:rPr>
          <w:rFonts w:hint="default" w:ascii="Times New Roman" w:hAnsi="Times New Roman" w:cs="Times New Roman"/>
          <w:bCs/>
          <w:sz w:val="32"/>
          <w:szCs w:val="32"/>
          <w:lang w:val="en-US" w:eastAsia="zh-CN"/>
        </w:rPr>
        <w:t>加强电力基础设施建设，优化电网布局，提高电网的智能化水平和供电可靠性。扩大分布式光伏发电、储能电站布局，推进枣庄港航新能源项目等项目建设，提升清洁能源供给比例。实施天然气气源保障和市场扩展项目，完善城乡燃气管网。加快通信基础设施建设，科学部署高质量5G网络，提升网络带宽和服务质量，</w:t>
      </w:r>
      <w:r>
        <w:rPr>
          <w:rFonts w:hint="default" w:ascii="Times New Roman" w:hAnsi="Times New Roman" w:eastAsia="仿宋_GB2312" w:cs="Times New Roman"/>
          <w:b w:val="0"/>
          <w:bCs w:val="0"/>
          <w:color w:val="auto"/>
          <w:sz w:val="32"/>
          <w:szCs w:val="32"/>
          <w:highlight w:val="none"/>
          <w:u w:val="none" w:color="auto"/>
        </w:rPr>
        <w:t>实现城区、重点工业</w:t>
      </w:r>
      <w:r>
        <w:rPr>
          <w:rFonts w:hint="default" w:ascii="Times New Roman" w:hAnsi="Times New Roman" w:eastAsia="仿宋_GB2312" w:cs="Times New Roman"/>
          <w:color w:val="auto"/>
          <w:sz w:val="32"/>
          <w:szCs w:val="32"/>
          <w:highlight w:val="none"/>
          <w:u w:val="none" w:color="auto"/>
        </w:rPr>
        <w:t>园区、交通枢纽等区域深度覆盖。</w:t>
      </w:r>
      <w:r>
        <w:rPr>
          <w:rFonts w:hint="default" w:ascii="Times New Roman" w:hAnsi="Times New Roman" w:eastAsia="仿宋_GB2312" w:cs="Times New Roman"/>
          <w:color w:val="auto"/>
          <w:sz w:val="32"/>
          <w:szCs w:val="32"/>
          <w:highlight w:val="none"/>
          <w:u w:val="none" w:color="auto"/>
          <w:lang w:val="en-US" w:eastAsia="zh-CN"/>
        </w:rPr>
        <w:t>拓展</w:t>
      </w:r>
      <w:r>
        <w:rPr>
          <w:rFonts w:hint="default" w:ascii="Times New Roman" w:hAnsi="Times New Roman" w:eastAsia="仿宋_GB2312" w:cs="Times New Roman"/>
          <w:color w:val="auto"/>
          <w:sz w:val="32"/>
          <w:szCs w:val="32"/>
          <w:highlight w:val="none"/>
          <w:u w:val="none" w:color="auto"/>
        </w:rPr>
        <w:t>5G应用场景</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深化重点行业工业互联网平台建设</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val="en-US" w:eastAsia="zh-CN"/>
        </w:rPr>
        <w:t>强化</w:t>
      </w:r>
      <w:r>
        <w:rPr>
          <w:rFonts w:hint="default" w:ascii="Times New Roman" w:hAnsi="Times New Roman" w:eastAsia="仿宋_GB2312" w:cs="Times New Roman"/>
          <w:color w:val="auto"/>
          <w:sz w:val="32"/>
          <w:szCs w:val="32"/>
          <w:highlight w:val="none"/>
          <w:u w:val="none" w:color="auto"/>
        </w:rPr>
        <w:t>交通、医疗、教育等重点行业应用</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为促进数字经济与实体经济深度融合提供有力支撑。</w:t>
      </w:r>
      <w:r>
        <w:rPr>
          <w:rFonts w:hint="default" w:ascii="Times New Roman" w:hAnsi="Times New Roman" w:eastAsia="仿宋_GB2312" w:cs="Times New Roman"/>
          <w:color w:val="auto"/>
          <w:sz w:val="32"/>
          <w:szCs w:val="32"/>
          <w:highlight w:val="none"/>
          <w:u w:val="none" w:color="auto"/>
          <w:lang w:val="en-US" w:eastAsia="zh-CN"/>
        </w:rPr>
        <w:t>适度超前建设新型基础设施，</w:t>
      </w:r>
      <w:r>
        <w:rPr>
          <w:rFonts w:hint="default" w:ascii="Times New Roman" w:hAnsi="Times New Roman" w:eastAsia="仿宋_GB2312" w:cs="Times New Roman"/>
          <w:color w:val="auto"/>
          <w:sz w:val="32"/>
          <w:szCs w:val="32"/>
          <w:highlight w:val="none"/>
          <w:u w:val="none" w:color="auto"/>
        </w:rPr>
        <w:t>培育面向6G的应用产业生态。</w:t>
      </w:r>
    </w:p>
    <w:p w14:paraId="6D48202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lang w:val="en-US" w:eastAsia="zh-CN"/>
        </w:rPr>
        <w:t>完善水利基础设施。</w:t>
      </w:r>
      <w:r>
        <w:rPr>
          <w:rFonts w:hint="default" w:ascii="Times New Roman" w:hAnsi="Times New Roman" w:cs="Times New Roman"/>
          <w:bCs/>
          <w:sz w:val="32"/>
          <w:szCs w:val="32"/>
          <w:lang w:val="en-US" w:eastAsia="zh-CN"/>
        </w:rPr>
        <w:t>筑牢水利安全屏障，配合推进南水北调后续工程续建配套等工程，实施淮河流域南四湖湖东韩庄运河涝区治理、滨湖涝区治理等项目，谋划周庄、西仓水库等项目，整治沟渠、改建涵闸，提升防洪排涝能力。推进蟠龙河水生态保护修复等项目，开展河道生态护岸建设、骨干入河沟道治理，改善水环境质量。</w:t>
      </w:r>
      <w:r>
        <w:rPr>
          <w:rFonts w:hint="default" w:ascii="Times New Roman" w:hAnsi="Times New Roman" w:cs="Times New Roman"/>
          <w:bCs/>
          <w:sz w:val="32"/>
          <w:szCs w:val="32"/>
          <w:highlight w:val="none"/>
          <w:lang w:val="en-US" w:eastAsia="zh-CN"/>
        </w:rPr>
        <w:t>建设</w:t>
      </w:r>
      <w:r>
        <w:rPr>
          <w:rFonts w:hint="default" w:ascii="Times New Roman" w:hAnsi="Times New Roman" w:cs="Times New Roman"/>
          <w:bCs/>
          <w:sz w:val="32"/>
          <w:szCs w:val="32"/>
          <w:lang w:val="en-US" w:eastAsia="zh-CN"/>
        </w:rPr>
        <w:t>再生水利用项目，完善污水收集与再生水输配管网，提升水资源循环利用水平。优化水利基础设施，实施水源连通及供水项目，通过塘坝清淤加固、拦蓄工程建设，保障城乡供水安全；推进农业水利设施升级，改造高标准农田灌排系统，提高农业用水效率。</w:t>
      </w:r>
    </w:p>
    <w:p w14:paraId="0FE5E809">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42" w:name="_Toc925283350"/>
      <w:r>
        <w:rPr>
          <w:rFonts w:hint="eastAsia" w:ascii="楷体_GB2312" w:hAnsi="楷体_GB2312" w:eastAsia="楷体_GB2312" w:cs="楷体_GB2312"/>
          <w:kern w:val="21"/>
          <w:sz w:val="32"/>
          <w:szCs w:val="32"/>
          <w:highlight w:val="none"/>
          <w:lang w:val="en-US" w:eastAsia="zh-CN"/>
        </w:rPr>
        <w:t>第四节  服务和融入全国统一大市场</w:t>
      </w:r>
      <w:bookmarkEnd w:id="42"/>
    </w:p>
    <w:p w14:paraId="6858B826">
      <w:pPr>
        <w:keepNext w:val="0"/>
        <w:keepLines w:val="0"/>
        <w:pageBreakBefore w:val="0"/>
        <w:widowControl w:val="0"/>
        <w:kinsoku/>
        <w:wordWrap/>
        <w:overflowPunct/>
        <w:topLinePunct w:val="0"/>
        <w:autoSpaceDE/>
        <w:autoSpaceDN/>
        <w:bidi w:val="0"/>
        <w:adjustRightInd/>
        <w:snapToGrid/>
        <w:spacing w:line="580" w:lineRule="exact"/>
        <w:ind w:left="0" w:leftChars="0" w:right="0"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坚决破除阻碍融入全国统一大市场建设的卡点堵点，规范政府经济促进行为，</w:t>
      </w:r>
      <w:r>
        <w:rPr>
          <w:rFonts w:hint="default" w:ascii="Times New Roman" w:hAnsi="Times New Roman" w:cs="Times New Roman"/>
          <w:color w:val="auto"/>
          <w:sz w:val="32"/>
          <w:szCs w:val="32"/>
          <w:highlight w:val="none"/>
          <w:u w:val="none" w:color="auto"/>
          <w:lang w:val="en-US" w:eastAsia="zh-CN"/>
        </w:rPr>
        <w:t>更好</w:t>
      </w:r>
      <w:r>
        <w:rPr>
          <w:rFonts w:hint="default" w:ascii="Times New Roman" w:hAnsi="Times New Roman" w:eastAsia="仿宋_GB2312" w:cs="Times New Roman"/>
          <w:color w:val="auto"/>
          <w:sz w:val="32"/>
          <w:szCs w:val="32"/>
          <w:highlight w:val="none"/>
          <w:u w:val="none" w:color="auto"/>
          <w:lang w:val="en-US" w:eastAsia="zh-CN"/>
        </w:rPr>
        <w:t>融入和主动服务全国统一大市场建设。</w:t>
      </w:r>
    </w:p>
    <w:p w14:paraId="4B508FF3">
      <w:pPr>
        <w:keepNext w:val="0"/>
        <w:keepLines w:val="0"/>
        <w:pageBreakBefore w:val="0"/>
        <w:widowControl w:val="0"/>
        <w:kinsoku/>
        <w:wordWrap/>
        <w:overflowPunct/>
        <w:topLinePunct w:val="0"/>
        <w:autoSpaceDE/>
        <w:autoSpaceDN/>
        <w:bidi w:val="0"/>
        <w:adjustRightInd/>
        <w:snapToGrid/>
        <w:spacing w:line="580" w:lineRule="exact"/>
        <w:ind w:left="0" w:leftChars="0" w:right="0"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eastAsia" w:ascii="楷体_GB2312" w:hAnsi="楷体_GB2312" w:eastAsia="楷体_GB2312" w:cs="楷体_GB2312"/>
          <w:b w:val="0"/>
          <w:bCs w:val="0"/>
          <w:lang w:val="en-US" w:eastAsia="zh-CN"/>
        </w:rPr>
        <w:t>落实统一市场基础制度。</w:t>
      </w:r>
      <w:r>
        <w:rPr>
          <w:rFonts w:hint="default" w:ascii="Times New Roman" w:hAnsi="Times New Roman" w:eastAsia="仿宋_GB2312" w:cs="Times New Roman"/>
          <w:color w:val="auto"/>
          <w:sz w:val="32"/>
          <w:szCs w:val="32"/>
          <w:highlight w:val="none"/>
          <w:u w:val="none" w:color="auto"/>
          <w:lang w:val="en-US" w:eastAsia="zh-CN"/>
        </w:rPr>
        <w:t>严格落实市场准入“全国一张清单”，深化市场准入壁垒排查整治，</w:t>
      </w:r>
      <w:r>
        <w:rPr>
          <w:rFonts w:hint="default" w:ascii="Times New Roman" w:hAnsi="Times New Roman" w:cs="Times New Roman"/>
          <w:color w:val="auto"/>
          <w:sz w:val="32"/>
          <w:szCs w:val="32"/>
          <w:highlight w:val="none"/>
          <w:u w:val="none" w:color="auto"/>
          <w:lang w:val="en-US" w:eastAsia="zh-CN"/>
        </w:rPr>
        <w:t>保障</w:t>
      </w:r>
      <w:r>
        <w:rPr>
          <w:rFonts w:hint="default" w:ascii="Times New Roman" w:hAnsi="Times New Roman" w:eastAsia="仿宋_GB2312" w:cs="Times New Roman"/>
          <w:color w:val="auto"/>
          <w:sz w:val="32"/>
          <w:szCs w:val="32"/>
          <w:highlight w:val="none"/>
          <w:u w:val="none" w:color="auto"/>
          <w:lang w:val="en-US" w:eastAsia="zh-CN"/>
        </w:rPr>
        <w:t>“非禁即入”。</w:t>
      </w:r>
      <w:r>
        <w:rPr>
          <w:rFonts w:hint="default" w:ascii="Times New Roman" w:hAnsi="Times New Roman" w:cs="Times New Roman"/>
          <w:color w:val="auto"/>
          <w:sz w:val="32"/>
          <w:szCs w:val="32"/>
          <w:highlight w:val="none"/>
          <w:u w:val="none" w:color="auto"/>
          <w:lang w:val="en-US" w:eastAsia="zh-CN"/>
        </w:rPr>
        <w:t>落实</w:t>
      </w:r>
      <w:r>
        <w:rPr>
          <w:rFonts w:hint="default" w:ascii="Times New Roman" w:hAnsi="Times New Roman" w:eastAsia="仿宋_GB2312" w:cs="Times New Roman"/>
          <w:color w:val="auto"/>
          <w:sz w:val="32"/>
          <w:szCs w:val="32"/>
          <w:highlight w:val="none"/>
          <w:u w:val="none" w:color="auto"/>
          <w:lang w:val="en-US" w:eastAsia="zh-CN"/>
        </w:rPr>
        <w:t>产权保护、市场准入、信息披露等制度规则，消除要素获取</w:t>
      </w:r>
      <w:r>
        <w:rPr>
          <w:rFonts w:hint="default" w:ascii="Times New Roman" w:hAnsi="Times New Roman"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lang w:val="en-US" w:eastAsia="zh-CN"/>
        </w:rPr>
        <w:t>招标投标、政府采购等方面壁垒。</w:t>
      </w:r>
      <w:r>
        <w:rPr>
          <w:rFonts w:hint="default" w:ascii="Times New Roman" w:hAnsi="Times New Roman" w:cs="Times New Roman"/>
          <w:bCs/>
          <w:sz w:val="32"/>
          <w:szCs w:val="32"/>
          <w:lang w:val="en-US" w:eastAsia="zh-CN"/>
        </w:rPr>
        <w:t>严格落实公平竞争审查制度</w:t>
      </w:r>
      <w:r>
        <w:rPr>
          <w:rFonts w:hint="default" w:ascii="Times New Roman" w:hAnsi="Times New Roman" w:eastAsia="仿宋_GB2312" w:cs="Times New Roman"/>
          <w:color w:val="auto"/>
          <w:sz w:val="32"/>
          <w:szCs w:val="32"/>
          <w:highlight w:val="none"/>
          <w:u w:val="none" w:color="auto"/>
          <w:lang w:val="en-US" w:eastAsia="zh-CN"/>
        </w:rPr>
        <w:t>，聚焦市场准入和退出、政府采购、商品和要素流动等领域，强化公平竞争审查刚性约束，清理妨碍统一市场和公平竞争的各</w:t>
      </w:r>
      <w:r>
        <w:rPr>
          <w:rFonts w:hint="default" w:ascii="Times New Roman" w:hAnsi="Times New Roman" w:eastAsia="仿宋_GB2312" w:cs="Times New Roman"/>
          <w:color w:val="auto"/>
          <w:spacing w:val="-6"/>
          <w:sz w:val="32"/>
          <w:szCs w:val="32"/>
          <w:highlight w:val="none"/>
          <w:u w:val="none" w:color="auto"/>
          <w:lang w:val="en-US" w:eastAsia="zh-CN"/>
        </w:rPr>
        <w:t>类政策措施。严格落实产权保护制度，强化知识产权全链条保护。</w:t>
      </w:r>
    </w:p>
    <w:p w14:paraId="1AE9D094">
      <w:pPr>
        <w:keepNext w:val="0"/>
        <w:keepLines w:val="0"/>
        <w:pageBreakBefore w:val="0"/>
        <w:widowControl w:val="0"/>
        <w:kinsoku/>
        <w:wordWrap/>
        <w:overflowPunct/>
        <w:topLinePunct w:val="0"/>
        <w:autoSpaceDE/>
        <w:autoSpaceDN/>
        <w:bidi w:val="0"/>
        <w:adjustRightInd/>
        <w:snapToGrid/>
        <w:spacing w:line="580" w:lineRule="exact"/>
        <w:ind w:left="0" w:leftChars="0" w:right="0"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eastAsia" w:ascii="楷体_GB2312" w:hAnsi="楷体_GB2312" w:eastAsia="楷体_GB2312" w:cs="楷体_GB2312"/>
          <w:b w:val="0"/>
          <w:bCs w:val="0"/>
          <w:lang w:val="en-US" w:eastAsia="zh-CN"/>
        </w:rPr>
        <w:t>落实统一政府行为尺度。</w:t>
      </w:r>
      <w:r>
        <w:rPr>
          <w:rFonts w:hint="default" w:ascii="Times New Roman" w:hAnsi="Times New Roman" w:eastAsia="仿宋_GB2312" w:cs="Times New Roman"/>
          <w:color w:val="auto"/>
          <w:sz w:val="32"/>
          <w:szCs w:val="32"/>
          <w:highlight w:val="none"/>
          <w:u w:val="none" w:color="auto"/>
          <w:lang w:val="en-US" w:eastAsia="zh-CN"/>
        </w:rPr>
        <w:t>持续开展招标投标突出问题系统整治，强化招标投标系统智慧监管，降低市场主体交易成本。综合整治“内卷式”竞争，</w:t>
      </w:r>
      <w:r>
        <w:rPr>
          <w:rFonts w:hint="default" w:ascii="Times New Roman" w:hAnsi="Times New Roman" w:cs="Times New Roman"/>
          <w:bCs/>
          <w:sz w:val="32"/>
          <w:szCs w:val="32"/>
          <w:lang w:val="en-US" w:eastAsia="zh-CN"/>
        </w:rPr>
        <w:t>规范招商引资行为，形成错位发展、良性竞争的市场格局。严厉打击不正当竞争、地方保护、价格欺诈、假冒伪劣等行为。</w:t>
      </w:r>
      <w:r>
        <w:rPr>
          <w:rFonts w:hint="default" w:ascii="Times New Roman" w:hAnsi="Times New Roman" w:eastAsia="仿宋_GB2312" w:cs="Times New Roman"/>
          <w:color w:val="auto"/>
          <w:sz w:val="32"/>
          <w:szCs w:val="32"/>
          <w:highlight w:val="none"/>
          <w:u w:val="none" w:color="auto"/>
          <w:lang w:val="en-US" w:eastAsia="zh-CN"/>
        </w:rPr>
        <w:t>统一政府采购示范文本加强智能监控，推广使用电子营业执照，依法支持各类市场主体公平竞争。</w:t>
      </w:r>
    </w:p>
    <w:p w14:paraId="41974874">
      <w:pPr>
        <w:keepNext w:val="0"/>
        <w:keepLines w:val="0"/>
        <w:pageBreakBefore w:val="0"/>
        <w:widowControl w:val="0"/>
        <w:kinsoku/>
        <w:wordWrap/>
        <w:overflowPunct/>
        <w:topLinePunct w:val="0"/>
        <w:autoSpaceDE/>
        <w:autoSpaceDN/>
        <w:bidi w:val="0"/>
        <w:adjustRightInd/>
        <w:snapToGrid/>
        <w:spacing w:line="580" w:lineRule="exact"/>
        <w:ind w:left="0" w:leftChars="0" w:right="0" w:firstLine="640" w:firstLineChars="200"/>
        <w:jc w:val="both"/>
        <w:textAlignment w:val="auto"/>
        <w:rPr>
          <w:rFonts w:hint="default" w:ascii="Times New Roman" w:hAnsi="Times New Roman" w:cs="Times New Roman"/>
          <w:color w:val="auto"/>
          <w:sz w:val="32"/>
          <w:szCs w:val="32"/>
          <w:highlight w:val="none"/>
          <w:u w:val="none" w:color="auto"/>
          <w:lang w:eastAsia="zh-CN"/>
        </w:rPr>
      </w:pPr>
      <w:r>
        <w:rPr>
          <w:rFonts w:hint="eastAsia" w:ascii="楷体_GB2312" w:hAnsi="楷体_GB2312" w:eastAsia="楷体_GB2312" w:cs="楷体_GB2312"/>
          <w:b w:val="0"/>
          <w:bCs w:val="0"/>
          <w:lang w:val="en-US" w:eastAsia="zh-CN"/>
        </w:rPr>
        <w:t>落实统一市场监管执法。</w:t>
      </w:r>
      <w:r>
        <w:rPr>
          <w:rFonts w:hint="default" w:ascii="Times New Roman" w:hAnsi="Times New Roman" w:eastAsia="仿宋_GB2312" w:cs="Times New Roman"/>
          <w:color w:val="auto"/>
          <w:sz w:val="32"/>
          <w:szCs w:val="32"/>
          <w:highlight w:val="none"/>
          <w:u w:val="none" w:color="auto"/>
          <w:lang w:val="en-US" w:eastAsia="zh-CN"/>
        </w:rPr>
        <w:t>健全“柔性执法”工作机制，加强执法行为风险监测和预警，推动“不罚轻罚”制度规范化运行。开展涉企行政执法专项监督，将监督重点向基层执法一线延伸。强化“互联网+监管”，推动建立更多跨部门联合抽查事项清单，实现“进一次门、查多项事”，</w:t>
      </w:r>
      <w:r>
        <w:rPr>
          <w:rFonts w:hint="default" w:ascii="Times New Roman" w:hAnsi="Times New Roman" w:cs="Times New Roman"/>
          <w:bCs/>
          <w:sz w:val="32"/>
          <w:szCs w:val="32"/>
          <w:lang w:val="en-US" w:eastAsia="zh-CN"/>
        </w:rPr>
        <w:t>统一执法标准和流程，</w:t>
      </w:r>
      <w:r>
        <w:rPr>
          <w:rFonts w:hint="default" w:ascii="Times New Roman" w:hAnsi="Times New Roman" w:eastAsia="仿宋_GB2312" w:cs="Times New Roman"/>
          <w:color w:val="auto"/>
          <w:sz w:val="32"/>
          <w:szCs w:val="32"/>
          <w:highlight w:val="none"/>
          <w:u w:val="none" w:color="auto"/>
          <w:lang w:val="en-US" w:eastAsia="zh-CN"/>
        </w:rPr>
        <w:t>全方位规范涉企检查行为</w:t>
      </w:r>
      <w:r>
        <w:rPr>
          <w:rFonts w:hint="default" w:ascii="Times New Roman" w:hAnsi="Times New Roman" w:eastAsia="仿宋_GB2312" w:cs="Times New Roman"/>
          <w:color w:val="auto"/>
          <w:sz w:val="32"/>
          <w:szCs w:val="32"/>
          <w:highlight w:val="none"/>
          <w:u w:val="none" w:color="auto"/>
        </w:rPr>
        <w:t>，</w:t>
      </w:r>
      <w:r>
        <w:rPr>
          <w:rFonts w:hint="default" w:ascii="Times New Roman" w:hAnsi="Times New Roman" w:eastAsia="仿宋_GB2312" w:cs="Times New Roman"/>
          <w:color w:val="auto"/>
          <w:sz w:val="32"/>
          <w:szCs w:val="32"/>
          <w:highlight w:val="none"/>
          <w:u w:val="none" w:color="auto"/>
          <w:lang w:val="en-US" w:eastAsia="zh-CN"/>
        </w:rPr>
        <w:t>推动</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无感监测</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无事不扰</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cs="Times New Roman"/>
          <w:color w:val="auto"/>
          <w:sz w:val="32"/>
          <w:szCs w:val="32"/>
          <w:highlight w:val="none"/>
          <w:u w:val="none" w:color="auto"/>
          <w:lang w:eastAsia="zh-CN"/>
        </w:rPr>
        <w:t>。</w:t>
      </w:r>
    </w:p>
    <w:p w14:paraId="3C429E1A">
      <w:pPr>
        <w:pStyle w:val="18"/>
        <w:rPr>
          <w:rFonts w:hint="default"/>
          <w:lang w:val="en-US" w:eastAsia="zh-CN"/>
        </w:rPr>
      </w:pPr>
    </w:p>
    <w:tbl>
      <w:tblPr>
        <w:tblStyle w:val="1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7"/>
      </w:tblGrid>
      <w:tr w14:paraId="76FB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8497" w:type="dxa"/>
            <w:noWrap w:val="0"/>
            <w:vAlign w:val="center"/>
          </w:tcPr>
          <w:p w14:paraId="1446C91B">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00" w:lineRule="exact"/>
              <w:ind w:left="0" w:right="0" w:firstLine="0" w:firstLineChars="0"/>
              <w:jc w:val="center"/>
              <w:textAlignment w:val="auto"/>
              <w:rPr>
                <w:rFonts w:hint="default" w:ascii="Times New Roman" w:hAnsi="Times New Roman" w:eastAsia="黑体" w:cs="Times New Roman"/>
                <w:b w:val="0"/>
                <w:bCs w:val="0"/>
                <w:spacing w:val="0"/>
                <w:kern w:val="21"/>
                <w:sz w:val="28"/>
                <w:szCs w:val="28"/>
              </w:rPr>
            </w:pPr>
            <w:r>
              <w:rPr>
                <w:rFonts w:hint="default" w:ascii="Times New Roman" w:hAnsi="Times New Roman" w:eastAsia="黑体" w:cs="Times New Roman"/>
                <w:b w:val="0"/>
                <w:bCs w:val="0"/>
                <w:spacing w:val="0"/>
                <w:kern w:val="21"/>
                <w:sz w:val="28"/>
                <w:szCs w:val="28"/>
                <w:highlight w:val="none"/>
              </w:rPr>
              <w:t>专栏</w:t>
            </w:r>
            <w:r>
              <w:rPr>
                <w:rFonts w:hint="default" w:ascii="Times New Roman" w:hAnsi="Times New Roman" w:eastAsia="黑体" w:cs="Times New Roman"/>
                <w:b w:val="0"/>
                <w:bCs w:val="0"/>
                <w:spacing w:val="0"/>
                <w:kern w:val="21"/>
                <w:sz w:val="28"/>
                <w:szCs w:val="28"/>
                <w:highlight w:val="none"/>
                <w:lang w:val="en-US" w:eastAsia="zh-CN"/>
              </w:rPr>
              <w:t>4</w:t>
            </w:r>
            <w:r>
              <w:rPr>
                <w:rFonts w:hint="default" w:ascii="Times New Roman" w:hAnsi="Times New Roman" w:eastAsia="黑体" w:cs="Times New Roman"/>
                <w:b w:val="0"/>
                <w:bCs w:val="0"/>
                <w:spacing w:val="0"/>
                <w:kern w:val="21"/>
                <w:sz w:val="28"/>
                <w:szCs w:val="28"/>
              </w:rPr>
              <w:t>：</w:t>
            </w:r>
            <w:r>
              <w:rPr>
                <w:rFonts w:hint="default" w:ascii="Times New Roman" w:hAnsi="Times New Roman" w:eastAsia="黑体" w:cs="Times New Roman"/>
                <w:b w:val="0"/>
                <w:bCs w:val="0"/>
                <w:spacing w:val="0"/>
                <w:kern w:val="21"/>
                <w:sz w:val="28"/>
                <w:szCs w:val="28"/>
                <w:lang w:val="en-US" w:eastAsia="zh-CN"/>
              </w:rPr>
              <w:t>现代化基础设施建设</w:t>
            </w:r>
            <w:r>
              <w:rPr>
                <w:rFonts w:hint="default" w:ascii="Times New Roman" w:hAnsi="Times New Roman" w:eastAsia="黑体" w:cs="Times New Roman"/>
                <w:b w:val="0"/>
                <w:bCs w:val="0"/>
                <w:spacing w:val="0"/>
                <w:kern w:val="21"/>
                <w:sz w:val="28"/>
                <w:szCs w:val="28"/>
              </w:rPr>
              <w:t>重点项目</w:t>
            </w:r>
          </w:p>
        </w:tc>
      </w:tr>
      <w:tr w14:paraId="3E92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97" w:type="dxa"/>
            <w:noWrap w:val="0"/>
            <w:vAlign w:val="center"/>
          </w:tcPr>
          <w:p w14:paraId="12620B87">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2" w:firstLineChars="200"/>
              <w:jc w:val="both"/>
              <w:textAlignment w:val="auto"/>
              <w:rPr>
                <w:rFonts w:hint="default" w:ascii="Times New Roman" w:hAnsi="Times New Roman" w:cs="Times New Roman"/>
                <w:b/>
                <w:bCs/>
                <w:spacing w:val="0"/>
                <w:kern w:val="21"/>
                <w:sz w:val="28"/>
                <w:szCs w:val="28"/>
                <w:lang w:val="en-US" w:eastAsia="zh-CN"/>
              </w:rPr>
            </w:pPr>
            <w:r>
              <w:rPr>
                <w:rFonts w:hint="default" w:ascii="Times New Roman" w:hAnsi="Times New Roman" w:cs="Times New Roman"/>
                <w:b/>
                <w:bCs/>
                <w:spacing w:val="0"/>
                <w:kern w:val="21"/>
                <w:sz w:val="28"/>
                <w:szCs w:val="28"/>
                <w:lang w:val="en-US" w:eastAsia="zh-CN"/>
              </w:rPr>
              <w:t>（一）交通基础设施</w:t>
            </w:r>
          </w:p>
          <w:p w14:paraId="1C050D9B">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1.枣庄港薛城港区薛城作业区三期泊位工程</w:t>
            </w:r>
          </w:p>
          <w:p w14:paraId="6558813F">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2.薛城区道路及公共区域照明设备更新改造项目</w:t>
            </w:r>
          </w:p>
          <w:p w14:paraId="2230CC22">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eastAsia" w:ascii="Times New Roman" w:hAnsi="Times New Roman" w:cs="Times New Roman"/>
                <w:b w:val="0"/>
                <w:bCs w:val="0"/>
                <w:spacing w:val="0"/>
                <w:kern w:val="21"/>
                <w:sz w:val="28"/>
                <w:szCs w:val="28"/>
                <w:lang w:val="en-US" w:eastAsia="zh-CN"/>
              </w:rPr>
              <w:t>3.薛城通用机场</w:t>
            </w:r>
          </w:p>
          <w:p w14:paraId="5F370F00">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2" w:firstLineChars="200"/>
              <w:jc w:val="both"/>
              <w:textAlignment w:val="auto"/>
              <w:rPr>
                <w:rFonts w:hint="default" w:ascii="Times New Roman" w:hAnsi="Times New Roman" w:cs="Times New Roman"/>
                <w:b/>
                <w:bCs/>
                <w:spacing w:val="0"/>
                <w:kern w:val="21"/>
                <w:sz w:val="28"/>
                <w:szCs w:val="28"/>
                <w:lang w:val="en-US" w:eastAsia="zh-CN"/>
              </w:rPr>
            </w:pPr>
            <w:r>
              <w:rPr>
                <w:rFonts w:hint="default" w:ascii="Times New Roman" w:hAnsi="Times New Roman" w:cs="Times New Roman"/>
                <w:b/>
                <w:bCs/>
                <w:spacing w:val="0"/>
                <w:kern w:val="21"/>
                <w:sz w:val="28"/>
                <w:szCs w:val="28"/>
                <w:lang w:val="en-US" w:eastAsia="zh-CN"/>
              </w:rPr>
              <w:t>（二）能源基础设施</w:t>
            </w:r>
          </w:p>
          <w:p w14:paraId="18801049">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1.枣庄港航新能源项目</w:t>
            </w:r>
          </w:p>
          <w:p w14:paraId="5CA74AC3">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2.薛城</w:t>
            </w:r>
            <w:r>
              <w:rPr>
                <w:rFonts w:hint="eastAsia" w:ascii="Times New Roman" w:hAnsi="Times New Roman" w:cs="Times New Roman"/>
                <w:b w:val="0"/>
                <w:bCs w:val="0"/>
                <w:spacing w:val="0"/>
                <w:kern w:val="21"/>
                <w:sz w:val="28"/>
                <w:szCs w:val="28"/>
                <w:lang w:val="en-US" w:eastAsia="zh-CN"/>
              </w:rPr>
              <w:t>经济开发区</w:t>
            </w:r>
            <w:r>
              <w:rPr>
                <w:rFonts w:hint="default" w:ascii="Times New Roman" w:hAnsi="Times New Roman" w:cs="Times New Roman"/>
                <w:b w:val="0"/>
                <w:bCs w:val="0"/>
                <w:spacing w:val="0"/>
                <w:kern w:val="21"/>
                <w:sz w:val="28"/>
                <w:szCs w:val="28"/>
                <w:lang w:val="en-US" w:eastAsia="zh-CN"/>
              </w:rPr>
              <w:t>源网荷储项目</w:t>
            </w:r>
          </w:p>
          <w:p w14:paraId="6B6E8DA0">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2" w:firstLineChars="200"/>
              <w:jc w:val="both"/>
              <w:textAlignment w:val="auto"/>
              <w:rPr>
                <w:rFonts w:hint="default" w:ascii="Times New Roman" w:hAnsi="Times New Roman" w:cs="Times New Roman"/>
                <w:b/>
                <w:bCs/>
                <w:spacing w:val="0"/>
                <w:kern w:val="21"/>
                <w:sz w:val="28"/>
                <w:szCs w:val="28"/>
                <w:lang w:val="en-US" w:eastAsia="zh-CN"/>
              </w:rPr>
            </w:pPr>
            <w:r>
              <w:rPr>
                <w:rFonts w:hint="default" w:ascii="Times New Roman" w:hAnsi="Times New Roman" w:cs="Times New Roman"/>
                <w:b/>
                <w:bCs/>
                <w:spacing w:val="0"/>
                <w:kern w:val="21"/>
                <w:sz w:val="28"/>
                <w:szCs w:val="28"/>
                <w:lang w:val="en-US" w:eastAsia="zh-CN"/>
              </w:rPr>
              <w:t>（三）水利基础设施</w:t>
            </w:r>
          </w:p>
          <w:p w14:paraId="37158670">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1.枣庄市淮河流域南四湖湖东韩庄运河涝区治理项目</w:t>
            </w:r>
          </w:p>
          <w:p w14:paraId="053FD534">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2.枣庄市淮河流域南四湖湖东滨湖涝区治理项目</w:t>
            </w:r>
          </w:p>
          <w:p w14:paraId="15CEBB94">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3.蟠龙河水生态保护修复项目</w:t>
            </w:r>
          </w:p>
          <w:p w14:paraId="2256480E">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4.薛城区水源连通及供水项目</w:t>
            </w:r>
          </w:p>
          <w:p w14:paraId="289574D9">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5.枣庄市薛城区城市排水管网更新工程项目</w:t>
            </w:r>
          </w:p>
          <w:p w14:paraId="5083D519">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6.枣庄市薛城区老城区城市排水管网提标改造工程项目</w:t>
            </w:r>
          </w:p>
          <w:p w14:paraId="56B60E9E">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7.污水处理厂提升改造及生活污水管网配套工程</w:t>
            </w:r>
          </w:p>
        </w:tc>
      </w:tr>
    </w:tbl>
    <w:p w14:paraId="289727EB">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0" w:firstLineChars="0"/>
        <w:jc w:val="center"/>
        <w:textAlignment w:val="auto"/>
        <w:outlineLvl w:val="0"/>
        <w:rPr>
          <w:rFonts w:hint="eastAsia" w:ascii="黑体" w:hAnsi="黑体" w:eastAsia="黑体" w:cs="黑体"/>
          <w:b w:val="0"/>
          <w:bCs/>
          <w:kern w:val="21"/>
          <w:sz w:val="32"/>
          <w:szCs w:val="32"/>
          <w:lang w:val="en-US" w:eastAsia="zh-CN"/>
        </w:rPr>
      </w:pPr>
      <w:bookmarkStart w:id="43" w:name="_Toc1587"/>
    </w:p>
    <w:p w14:paraId="7649C64D">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0" w:firstLineChars="0"/>
        <w:jc w:val="center"/>
        <w:textAlignment w:val="auto"/>
        <w:outlineLvl w:val="0"/>
        <w:rPr>
          <w:rFonts w:hint="eastAsia" w:ascii="黑体" w:hAnsi="黑体" w:eastAsia="黑体" w:cs="黑体"/>
          <w:b w:val="0"/>
          <w:bCs/>
          <w:kern w:val="21"/>
          <w:sz w:val="32"/>
          <w:szCs w:val="32"/>
          <w:lang w:val="en-US" w:eastAsia="zh-CN"/>
        </w:rPr>
      </w:pPr>
      <w:bookmarkStart w:id="44" w:name="_Toc705376359"/>
      <w:r>
        <w:rPr>
          <w:rFonts w:hint="eastAsia" w:ascii="黑体" w:hAnsi="黑体" w:eastAsia="黑体" w:cs="黑体"/>
          <w:b w:val="0"/>
          <w:bCs/>
          <w:kern w:val="21"/>
          <w:sz w:val="32"/>
          <w:szCs w:val="32"/>
          <w:lang w:val="en-US" w:eastAsia="zh-CN"/>
        </w:rPr>
        <w:t xml:space="preserve">第七章  </w:t>
      </w:r>
      <w:bookmarkEnd w:id="43"/>
      <w:r>
        <w:rPr>
          <w:rFonts w:hint="eastAsia" w:ascii="黑体" w:hAnsi="黑体" w:eastAsia="黑体" w:cs="黑体"/>
          <w:b w:val="0"/>
          <w:bCs/>
          <w:kern w:val="21"/>
          <w:sz w:val="32"/>
          <w:szCs w:val="32"/>
          <w:lang w:val="en-US" w:eastAsia="zh-CN"/>
        </w:rPr>
        <w:t>深化改革开放，增强内生动力和外部活力</w:t>
      </w:r>
      <w:bookmarkEnd w:id="44"/>
    </w:p>
    <w:p w14:paraId="01784ABD">
      <w:pPr>
        <w:keepNext w:val="0"/>
        <w:keepLines w:val="0"/>
        <w:pageBreakBefore w:val="0"/>
        <w:widowControl w:val="0"/>
        <w:kinsoku/>
        <w:wordWrap/>
        <w:overflowPunct/>
        <w:topLinePunct w:val="0"/>
        <w:autoSpaceDE/>
        <w:autoSpaceDN/>
        <w:bidi w:val="0"/>
        <w:adjustRightInd/>
        <w:snapToGrid/>
        <w:spacing w:before="313" w:beforeLines="100" w:line="580" w:lineRule="exac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以构建高水平社会主义市场经济体制为目标，统筹推进深层次改革和高水平对外开放，为现代化强区建设注入强劲动力。</w:t>
      </w:r>
    </w:p>
    <w:p w14:paraId="64B49EBA">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45" w:name="_Toc1702855865"/>
      <w:r>
        <w:rPr>
          <w:rFonts w:hint="eastAsia" w:ascii="楷体_GB2312" w:hAnsi="楷体_GB2312" w:eastAsia="楷体_GB2312" w:cs="楷体_GB2312"/>
          <w:kern w:val="21"/>
          <w:sz w:val="32"/>
          <w:szCs w:val="32"/>
          <w:highlight w:val="none"/>
          <w:lang w:val="en-US" w:eastAsia="zh-CN"/>
        </w:rPr>
        <w:t>第一节  激发各类经营主体活力</w:t>
      </w:r>
      <w:bookmarkEnd w:id="45"/>
    </w:p>
    <w:p w14:paraId="09C26D3B">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rPr>
      </w:pPr>
      <w:r>
        <w:rPr>
          <w:rFonts w:hint="default" w:ascii="Times New Roman" w:hAnsi="Times New Roman" w:cs="Times New Roman"/>
          <w:lang w:val="en-US" w:eastAsia="zh-CN"/>
        </w:rPr>
        <w:t>围绕</w:t>
      </w:r>
      <w:r>
        <w:rPr>
          <w:rFonts w:hint="default" w:ascii="Times New Roman" w:hAnsi="Times New Roman" w:cs="Times New Roman"/>
        </w:rPr>
        <w:t>国资国企</w:t>
      </w:r>
      <w:r>
        <w:rPr>
          <w:rFonts w:hint="default" w:ascii="Times New Roman" w:hAnsi="Times New Roman" w:cs="Times New Roman"/>
          <w:lang w:val="en-US" w:eastAsia="zh-CN"/>
        </w:rPr>
        <w:t>改革</w:t>
      </w:r>
      <w:r>
        <w:rPr>
          <w:rFonts w:hint="default" w:ascii="Times New Roman" w:hAnsi="Times New Roman" w:cs="Times New Roman"/>
        </w:rPr>
        <w:t>、民营经济</w:t>
      </w:r>
      <w:r>
        <w:rPr>
          <w:rFonts w:hint="default" w:ascii="Times New Roman" w:hAnsi="Times New Roman" w:cs="Times New Roman"/>
          <w:lang w:val="en-US" w:eastAsia="zh-CN"/>
        </w:rPr>
        <w:t>壮大</w:t>
      </w:r>
      <w:r>
        <w:rPr>
          <w:rFonts w:hint="default" w:ascii="Times New Roman" w:hAnsi="Times New Roman" w:cs="Times New Roman"/>
          <w:lang w:eastAsia="zh-CN"/>
        </w:rPr>
        <w:t>，</w:t>
      </w:r>
      <w:r>
        <w:rPr>
          <w:rFonts w:hint="default" w:ascii="Times New Roman" w:hAnsi="Times New Roman" w:cs="Times New Roman"/>
        </w:rPr>
        <w:t>健全制度保障</w:t>
      </w:r>
      <w:r>
        <w:rPr>
          <w:rFonts w:hint="default" w:ascii="Times New Roman" w:hAnsi="Times New Roman" w:cs="Times New Roman"/>
          <w:lang w:eastAsia="zh-CN"/>
        </w:rPr>
        <w:t>，</w:t>
      </w:r>
      <w:r>
        <w:rPr>
          <w:rFonts w:hint="default" w:ascii="Times New Roman" w:hAnsi="Times New Roman" w:cs="Times New Roman"/>
        </w:rPr>
        <w:t>强化政策赋能，推动各类经营主体优势互补、共同发展。</w:t>
      </w:r>
    </w:p>
    <w:p w14:paraId="175382FC">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color w:val="auto"/>
          <w:sz w:val="32"/>
          <w:szCs w:val="32"/>
          <w:highlight w:val="none"/>
          <w:u w:val="none" w:color="auto"/>
        </w:rPr>
      </w:pPr>
      <w:r>
        <w:rPr>
          <w:rFonts w:hint="eastAsia" w:ascii="楷体_GB2312" w:hAnsi="楷体_GB2312" w:eastAsia="楷体_GB2312" w:cs="楷体_GB2312"/>
          <w:b w:val="0"/>
          <w:bCs w:val="0"/>
          <w:lang w:val="en-US" w:eastAsia="zh-CN"/>
        </w:rPr>
        <w:t>深化国资国企改革。</w:t>
      </w:r>
      <w:r>
        <w:rPr>
          <w:rFonts w:hint="default" w:ascii="Times New Roman" w:hAnsi="Times New Roman" w:cs="Times New Roman"/>
        </w:rPr>
        <w:t>优化</w:t>
      </w:r>
      <w:r>
        <w:rPr>
          <w:rFonts w:hint="default" w:ascii="Times New Roman" w:hAnsi="Times New Roman" w:cs="Times New Roman"/>
          <w:lang w:val="en-US" w:eastAsia="zh-CN"/>
        </w:rPr>
        <w:t>国有企业</w:t>
      </w:r>
      <w:r>
        <w:rPr>
          <w:rFonts w:hint="default" w:ascii="Times New Roman" w:hAnsi="Times New Roman" w:cs="Times New Roman"/>
        </w:rPr>
        <w:t>布局</w:t>
      </w:r>
      <w:r>
        <w:rPr>
          <w:rFonts w:hint="default" w:ascii="Times New Roman" w:hAnsi="Times New Roman" w:cs="Times New Roman"/>
          <w:lang w:eastAsia="zh-CN"/>
        </w:rPr>
        <w:t>，</w:t>
      </w:r>
      <w:r>
        <w:rPr>
          <w:rFonts w:hint="default" w:ascii="Times New Roman" w:hAnsi="Times New Roman" w:cs="Times New Roman"/>
        </w:rPr>
        <w:t>推动国有企业聚焦主责主业</w:t>
      </w:r>
      <w:r>
        <w:rPr>
          <w:rFonts w:hint="default" w:ascii="Times New Roman" w:hAnsi="Times New Roman" w:cs="Times New Roman"/>
          <w:lang w:eastAsia="zh-CN"/>
        </w:rPr>
        <w:t>、</w:t>
      </w:r>
      <w:r>
        <w:rPr>
          <w:rFonts w:hint="default" w:ascii="Times New Roman" w:hAnsi="Times New Roman" w:cs="Times New Roman"/>
          <w:lang w:val="en-US" w:eastAsia="zh-CN"/>
        </w:rPr>
        <w:t>深耕细作</w:t>
      </w:r>
      <w:r>
        <w:rPr>
          <w:rFonts w:hint="default" w:ascii="Times New Roman" w:hAnsi="Times New Roman" w:cs="Times New Roman"/>
        </w:rPr>
        <w:t>，聚焦</w:t>
      </w:r>
      <w:r>
        <w:rPr>
          <w:rFonts w:hint="default" w:ascii="Times New Roman" w:hAnsi="Times New Roman" w:cs="Times New Roman"/>
          <w:lang w:eastAsia="zh-CN"/>
        </w:rPr>
        <w:t>产业发展、</w:t>
      </w:r>
      <w:r>
        <w:rPr>
          <w:rFonts w:hint="default" w:ascii="Times New Roman" w:hAnsi="Times New Roman" w:cs="Times New Roman"/>
        </w:rPr>
        <w:t>城市运营、民生服务</w:t>
      </w:r>
      <w:r>
        <w:rPr>
          <w:rFonts w:hint="default" w:ascii="Times New Roman" w:hAnsi="Times New Roman" w:cs="Times New Roman"/>
          <w:lang w:eastAsia="zh-CN"/>
        </w:rPr>
        <w:t>，</w:t>
      </w:r>
      <w:r>
        <w:rPr>
          <w:rFonts w:hint="default" w:ascii="Times New Roman" w:hAnsi="Times New Roman" w:cs="Times New Roman"/>
        </w:rPr>
        <w:t>培育发展主业</w:t>
      </w:r>
      <w:r>
        <w:rPr>
          <w:rFonts w:hint="default" w:ascii="Times New Roman" w:hAnsi="Times New Roman" w:cs="Times New Roman"/>
          <w:lang w:eastAsia="zh-CN"/>
        </w:rPr>
        <w:t>，推进集团化重组与专业化整合，</w:t>
      </w:r>
      <w:r>
        <w:rPr>
          <w:rFonts w:hint="default" w:ascii="Times New Roman" w:hAnsi="Times New Roman" w:cs="Times New Roman"/>
        </w:rPr>
        <w:t>加快</w:t>
      </w:r>
      <w:r>
        <w:rPr>
          <w:rFonts w:hint="default" w:ascii="Times New Roman" w:hAnsi="Times New Roman" w:cs="Times New Roman"/>
          <w:lang w:val="en-US" w:eastAsia="zh-CN"/>
        </w:rPr>
        <w:t>闲置</w:t>
      </w:r>
      <w:r>
        <w:rPr>
          <w:rFonts w:hint="default" w:ascii="Times New Roman" w:hAnsi="Times New Roman" w:cs="Times New Roman"/>
        </w:rPr>
        <w:t>低效资产处置出清</w:t>
      </w:r>
      <w:r>
        <w:rPr>
          <w:rFonts w:hint="default" w:ascii="Times New Roman" w:hAnsi="Times New Roman" w:cs="Times New Roman"/>
          <w:lang w:eastAsia="zh-CN"/>
        </w:rPr>
        <w:t>，</w:t>
      </w:r>
      <w:r>
        <w:rPr>
          <w:rFonts w:hint="default" w:ascii="Times New Roman" w:hAnsi="Times New Roman" w:cs="Times New Roman"/>
          <w:lang w:val="en-US" w:eastAsia="zh-CN"/>
        </w:rPr>
        <w:t>构建“一企一业、主业突出”发展格局</w:t>
      </w:r>
      <w:r>
        <w:rPr>
          <w:rFonts w:hint="default" w:ascii="Times New Roman" w:hAnsi="Times New Roman" w:cs="Times New Roman"/>
          <w:lang w:eastAsia="zh-CN"/>
        </w:rPr>
        <w:t>。完善</w:t>
      </w:r>
      <w:r>
        <w:rPr>
          <w:rFonts w:hint="default" w:ascii="Times New Roman" w:hAnsi="Times New Roman" w:cs="Times New Roman"/>
          <w:lang w:val="en-US" w:eastAsia="zh-CN"/>
        </w:rPr>
        <w:t>国有企业治理体系</w:t>
      </w:r>
      <w:r>
        <w:rPr>
          <w:rFonts w:hint="default" w:ascii="Times New Roman" w:hAnsi="Times New Roman" w:cs="Times New Roman"/>
          <w:lang w:eastAsia="zh-CN"/>
        </w:rPr>
        <w:t>。实施国企</w:t>
      </w:r>
      <w:r>
        <w:rPr>
          <w:rFonts w:hint="default" w:ascii="Times New Roman" w:hAnsi="Times New Roman" w:cs="Times New Roman"/>
          <w:lang w:val="en-US" w:eastAsia="zh-CN"/>
        </w:rPr>
        <w:t>管理运营优化</w:t>
      </w:r>
      <w:r>
        <w:rPr>
          <w:rFonts w:hint="default" w:ascii="Times New Roman" w:hAnsi="Times New Roman" w:cs="Times New Roman"/>
          <w:lang w:eastAsia="zh-CN"/>
        </w:rPr>
        <w:t>行动，</w:t>
      </w:r>
      <w:r>
        <w:rPr>
          <w:rFonts w:hint="default" w:ascii="Times New Roman" w:hAnsi="Times New Roman" w:cs="Times New Roman"/>
        </w:rPr>
        <w:t>持续优化党委总揽全局、董事会战略决策、经理层主抓经营的治理体系</w:t>
      </w:r>
      <w:r>
        <w:rPr>
          <w:rFonts w:hint="default" w:ascii="Times New Roman" w:hAnsi="Times New Roman" w:cs="Times New Roman"/>
          <w:lang w:eastAsia="zh-CN"/>
        </w:rPr>
        <w:t>，</w:t>
      </w:r>
      <w:r>
        <w:rPr>
          <w:rFonts w:hint="default" w:ascii="Times New Roman" w:hAnsi="Times New Roman" w:cs="Times New Roman"/>
          <w:lang w:val="en-US" w:eastAsia="zh-CN"/>
        </w:rPr>
        <w:t>规范投资决策程序，</w:t>
      </w:r>
      <w:r>
        <w:rPr>
          <w:rFonts w:hint="default" w:ascii="Times New Roman" w:hAnsi="Times New Roman" w:cs="Times New Roman"/>
        </w:rPr>
        <w:t>搭建机构精简、运行高效的组织管理机制。深化薪酬</w:t>
      </w:r>
      <w:r>
        <w:rPr>
          <w:rFonts w:hint="default" w:ascii="Times New Roman" w:hAnsi="Times New Roman" w:cs="Times New Roman"/>
          <w:lang w:val="en-US" w:eastAsia="zh-CN"/>
        </w:rPr>
        <w:t>制度</w:t>
      </w:r>
      <w:r>
        <w:rPr>
          <w:rFonts w:hint="default" w:ascii="Times New Roman" w:hAnsi="Times New Roman" w:cs="Times New Roman"/>
        </w:rPr>
        <w:t>改革，建立健全与劳动力市场基本适应、与企业经济效益挂钩的工资决定和正常增长机制。</w:t>
      </w:r>
      <w:r>
        <w:rPr>
          <w:rFonts w:hint="default" w:ascii="Times New Roman" w:hAnsi="Times New Roman" w:cs="Times New Roman"/>
          <w:lang w:eastAsia="zh-CN"/>
        </w:rPr>
        <w:t>强化国有企业考核监管。</w:t>
      </w:r>
      <w:r>
        <w:rPr>
          <w:rFonts w:hint="default" w:ascii="Times New Roman" w:hAnsi="Times New Roman" w:cs="Times New Roman"/>
          <w:lang w:val="en-US" w:eastAsia="zh-CN"/>
        </w:rPr>
        <w:t>科学设置考核指标体系，加强考核结果运用。</w:t>
      </w:r>
      <w:r>
        <w:rPr>
          <w:rFonts w:hint="default" w:ascii="Times New Roman" w:hAnsi="Times New Roman" w:cs="Times New Roman"/>
        </w:rPr>
        <w:t>健全内部控制体系，确保重大经营决策依法合规。</w:t>
      </w:r>
      <w:r>
        <w:rPr>
          <w:rFonts w:hint="default" w:ascii="Times New Roman" w:hAnsi="Times New Roman" w:cs="Times New Roman"/>
          <w:lang w:val="en-US" w:eastAsia="zh-CN"/>
        </w:rPr>
        <w:t>完善</w:t>
      </w:r>
      <w:r>
        <w:rPr>
          <w:rFonts w:hint="default" w:ascii="Times New Roman" w:hAnsi="Times New Roman" w:cs="Times New Roman"/>
        </w:rPr>
        <w:t>监管制度，</w:t>
      </w:r>
      <w:r>
        <w:rPr>
          <w:rFonts w:hint="default" w:ascii="Times New Roman" w:hAnsi="Times New Roman" w:cs="Times New Roman"/>
          <w:lang w:val="en-US" w:eastAsia="zh-CN"/>
        </w:rPr>
        <w:t>强化债务风险防控，</w:t>
      </w:r>
      <w:r>
        <w:rPr>
          <w:rFonts w:hint="default" w:ascii="Times New Roman" w:hAnsi="Times New Roman" w:cs="Times New Roman"/>
        </w:rPr>
        <w:t>保障国资国企平稳健康加快发展。</w:t>
      </w:r>
    </w:p>
    <w:p w14:paraId="78492AB9">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lang w:eastAsia="zh-CN"/>
        </w:rPr>
      </w:pPr>
      <w:r>
        <w:rPr>
          <w:rFonts w:hint="eastAsia" w:ascii="楷体_GB2312" w:hAnsi="楷体_GB2312" w:eastAsia="楷体_GB2312" w:cs="楷体_GB2312"/>
          <w:b w:val="0"/>
          <w:bCs w:val="0"/>
          <w:lang w:val="en-US" w:eastAsia="zh-CN"/>
        </w:rPr>
        <w:t>支持民营经济发展。</w:t>
      </w:r>
      <w:r>
        <w:rPr>
          <w:rFonts w:hint="default" w:ascii="Times New Roman" w:hAnsi="Times New Roman" w:cs="Times New Roman"/>
        </w:rPr>
        <w:t>健全</w:t>
      </w:r>
      <w:r>
        <w:rPr>
          <w:rFonts w:hint="default" w:ascii="Times New Roman" w:hAnsi="Times New Roman" w:cs="Times New Roman"/>
          <w:lang w:eastAsia="zh-CN"/>
        </w:rPr>
        <w:t>完善“两个毫不动摇”落实机制，</w:t>
      </w:r>
      <w:r>
        <w:rPr>
          <w:rFonts w:hint="default" w:ascii="Times New Roman" w:hAnsi="Times New Roman" w:cs="Times New Roman"/>
        </w:rPr>
        <w:t>强化政策精准赋能</w:t>
      </w:r>
      <w:r>
        <w:rPr>
          <w:rFonts w:hint="default" w:ascii="Times New Roman" w:hAnsi="Times New Roman" w:cs="Times New Roman"/>
          <w:lang w:eastAsia="zh-CN"/>
        </w:rPr>
        <w:t>，推动</w:t>
      </w:r>
      <w:r>
        <w:rPr>
          <w:rFonts w:hint="default" w:ascii="Times New Roman" w:hAnsi="Times New Roman" w:cs="Times New Roman"/>
        </w:rPr>
        <w:t>惠企政策“直达快享”“免申即享”，动态更新税收减免、融资贴息、技改补贴等“免申即享”清单，确保政策红利精准落地。</w:t>
      </w:r>
      <w:r>
        <w:rPr>
          <w:rFonts w:hint="default" w:ascii="Times New Roman" w:hAnsi="Times New Roman" w:cs="Times New Roman"/>
          <w:lang w:val="en-US" w:eastAsia="zh-CN"/>
        </w:rPr>
        <w:t>全面</w:t>
      </w:r>
      <w:r>
        <w:rPr>
          <w:rFonts w:hint="default" w:ascii="Times New Roman" w:hAnsi="Times New Roman" w:cs="Times New Roman"/>
        </w:rPr>
        <w:t>落实《民营经济促进法》，依法保护民营企业产权和企业家合法权益，健全涉企纠纷快速化解机制。规范涉企执法行为，避免选择性执法、随意性执法，为民营企业发展营造稳定可预期的法治环境。弘扬优秀企业家精神，加强对优秀企业家的宣传表彰，选树创新发展、诚信经营、履行社会责任的标杆典型。建立企业家荣誉激励机制，邀请优秀企业家参与政府决策咨询、规划编制、政策评估等工作，引导企业家投身薛城高质量发展实践</w:t>
      </w:r>
      <w:r>
        <w:rPr>
          <w:rFonts w:hint="default" w:ascii="Times New Roman" w:hAnsi="Times New Roman" w:cs="Times New Roman"/>
          <w:lang w:eastAsia="zh-CN"/>
        </w:rPr>
        <w:t>，</w:t>
      </w:r>
      <w:r>
        <w:rPr>
          <w:rFonts w:hint="default" w:ascii="Times New Roman" w:hAnsi="Times New Roman" w:cs="Times New Roman"/>
        </w:rPr>
        <w:t>增强企业家归属感</w:t>
      </w:r>
      <w:r>
        <w:rPr>
          <w:rFonts w:hint="default" w:ascii="Times New Roman" w:hAnsi="Times New Roman" w:cs="Times New Roman"/>
          <w:lang w:eastAsia="zh-CN"/>
        </w:rPr>
        <w:t>和</w:t>
      </w:r>
      <w:r>
        <w:rPr>
          <w:rFonts w:hint="default" w:ascii="Times New Roman" w:hAnsi="Times New Roman" w:cs="Times New Roman"/>
        </w:rPr>
        <w:t>荣誉感</w:t>
      </w:r>
      <w:r>
        <w:rPr>
          <w:rFonts w:hint="default" w:ascii="Times New Roman" w:hAnsi="Times New Roman" w:cs="Times New Roman"/>
          <w:lang w:eastAsia="zh-CN"/>
        </w:rPr>
        <w:t>。</w:t>
      </w:r>
    </w:p>
    <w:p w14:paraId="6F3CDF95">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rPr>
      </w:pPr>
      <w:r>
        <w:rPr>
          <w:rFonts w:hint="eastAsia" w:ascii="楷体_GB2312" w:hAnsi="楷体_GB2312" w:eastAsia="楷体_GB2312" w:cs="楷体_GB2312"/>
          <w:b w:val="0"/>
          <w:bCs w:val="0"/>
          <w:lang w:val="en-US" w:eastAsia="zh-CN"/>
        </w:rPr>
        <w:t>促进中小企业成长。</w:t>
      </w:r>
      <w:r>
        <w:rPr>
          <w:rFonts w:hint="default" w:ascii="Times New Roman" w:hAnsi="Times New Roman" w:cs="Times New Roman"/>
        </w:rPr>
        <w:t>构建梯度培育体系，针对性提供研发扶持、市场对接、融资支持等服务，培育一批聚焦细分赛道的“隐形冠军”。强化转型发展支撑</w:t>
      </w:r>
      <w:r>
        <w:rPr>
          <w:rFonts w:hint="default" w:ascii="Times New Roman" w:hAnsi="Times New Roman" w:cs="Times New Roman"/>
          <w:lang w:eastAsia="zh-CN"/>
        </w:rPr>
        <w:t>，</w:t>
      </w:r>
      <w:r>
        <w:rPr>
          <w:rFonts w:hint="default" w:ascii="Times New Roman" w:hAnsi="Times New Roman" w:cs="Times New Roman"/>
        </w:rPr>
        <w:t>深化中小企业数字化转型专项行动，推广工业互联网平台应用，</w:t>
      </w:r>
      <w:r>
        <w:rPr>
          <w:rFonts w:hint="default" w:ascii="Times New Roman" w:hAnsi="Times New Roman" w:cs="Times New Roman"/>
          <w:lang w:val="en-US" w:eastAsia="zh-CN"/>
        </w:rPr>
        <w:t>帮助企业争取</w:t>
      </w:r>
      <w:r>
        <w:rPr>
          <w:rFonts w:hint="default" w:ascii="Times New Roman" w:hAnsi="Times New Roman" w:cs="Times New Roman"/>
        </w:rPr>
        <w:t>智能化改造、绿色化升级</w:t>
      </w:r>
      <w:r>
        <w:rPr>
          <w:rFonts w:hint="default" w:ascii="Times New Roman" w:hAnsi="Times New Roman" w:cs="Times New Roman"/>
          <w:lang w:val="en-US" w:eastAsia="zh-CN"/>
        </w:rPr>
        <w:t>领域政策和资金支持</w:t>
      </w:r>
      <w:r>
        <w:rPr>
          <w:rFonts w:hint="default" w:ascii="Times New Roman" w:hAnsi="Times New Roman" w:cs="Times New Roman"/>
        </w:rPr>
        <w:t>，降低转型成本。优化创业创新服务</w:t>
      </w:r>
      <w:r>
        <w:rPr>
          <w:rFonts w:hint="default" w:ascii="Times New Roman" w:hAnsi="Times New Roman" w:cs="Times New Roman"/>
          <w:lang w:eastAsia="zh-CN"/>
        </w:rPr>
        <w:t>，</w:t>
      </w:r>
      <w:r>
        <w:rPr>
          <w:rFonts w:hint="default" w:ascii="Times New Roman" w:hAnsi="Times New Roman" w:cs="Times New Roman"/>
        </w:rPr>
        <w:t>完善创业孵化体系，为初创企业提供政策咨询、创业辅导、融资对接等“一站式”服务。举办中小企业创新创业大赛、技术交流论坛等活动，搭建合作对接平台，支持中小企业与高校院所开展产学研合作，提升创新能力。</w:t>
      </w:r>
    </w:p>
    <w:p w14:paraId="2B5345BF">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rPr>
      </w:pPr>
      <w:r>
        <w:rPr>
          <w:rFonts w:hint="eastAsia" w:ascii="楷体_GB2312" w:hAnsi="楷体_GB2312" w:eastAsia="楷体_GB2312" w:cs="楷体_GB2312"/>
          <w:b w:val="0"/>
          <w:bCs w:val="0"/>
          <w:lang w:val="en-US" w:eastAsia="zh-CN"/>
        </w:rPr>
        <w:t>构建亲清统一的新型政商关系。</w:t>
      </w:r>
      <w:r>
        <w:rPr>
          <w:rFonts w:hint="default" w:ascii="Times New Roman" w:hAnsi="Times New Roman" w:cs="Times New Roman"/>
        </w:rPr>
        <w:t>健全常态化沟通机制</w:t>
      </w:r>
      <w:r>
        <w:rPr>
          <w:rFonts w:hint="default" w:ascii="Times New Roman" w:hAnsi="Times New Roman" w:cs="Times New Roman"/>
          <w:lang w:eastAsia="zh-CN"/>
        </w:rPr>
        <w:t>，</w:t>
      </w:r>
      <w:r>
        <w:rPr>
          <w:rFonts w:hint="default" w:ascii="Times New Roman" w:hAnsi="Times New Roman" w:cs="Times New Roman"/>
        </w:rPr>
        <w:t>建立“企业家座谈会”“政企恳谈会”等常态化沟通平台，面对面听取企业诉求</w:t>
      </w:r>
      <w:r>
        <w:rPr>
          <w:rFonts w:hint="default" w:ascii="Times New Roman" w:hAnsi="Times New Roman" w:cs="Times New Roman"/>
          <w:lang w:eastAsia="zh-CN"/>
        </w:rPr>
        <w:t>。用好“枣解决·枣满意”平台，畅通诉求反映渠道，健全诉求闭环解决机制，推进企业群众诉求“扎口办理”。规范政商交往行为，明确公职人员与企业家交往的边界与尺度，鼓励公职人员主动服务企业、坦荡真诚交往。严禁公职人员利用职权干预企业生产经营、谋取不正当利益，坚决整治“吃拿卡要”“庸懒散拖”等问题，营造“亲而有度、清而有为”的良好氛围。畅通企业监督渠道，及时查处损害营商环境的行为，确保各项政策举措落地见效</w:t>
      </w:r>
      <w:r>
        <w:rPr>
          <w:rFonts w:hint="default" w:ascii="Times New Roman" w:hAnsi="Times New Roman" w:cs="Times New Roman"/>
        </w:rPr>
        <w:t>。</w:t>
      </w:r>
    </w:p>
    <w:p w14:paraId="297E0A6F">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46" w:name="_Toc802586831"/>
      <w:r>
        <w:rPr>
          <w:rFonts w:hint="eastAsia" w:ascii="楷体_GB2312" w:hAnsi="楷体_GB2312" w:eastAsia="楷体_GB2312" w:cs="楷体_GB2312"/>
          <w:kern w:val="21"/>
          <w:sz w:val="32"/>
          <w:szCs w:val="32"/>
          <w:highlight w:val="none"/>
          <w:lang w:val="en-US" w:eastAsia="zh-CN"/>
        </w:rPr>
        <w:t>第二节  推进要素市场化配置改革</w:t>
      </w:r>
      <w:bookmarkEnd w:id="46"/>
    </w:p>
    <w:p w14:paraId="04779F8C">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rPr>
      </w:pPr>
      <w:r>
        <w:rPr>
          <w:rFonts w:hint="default" w:ascii="Times New Roman" w:hAnsi="Times New Roman" w:cs="Times New Roman"/>
        </w:rPr>
        <w:t>聚焦关键要素，破除流动壁垒</w:t>
      </w:r>
      <w:r>
        <w:rPr>
          <w:rFonts w:hint="default" w:ascii="Times New Roman" w:hAnsi="Times New Roman" w:cs="Times New Roman"/>
          <w:lang w:eastAsia="zh-CN"/>
        </w:rPr>
        <w:t>，</w:t>
      </w:r>
      <w:r>
        <w:rPr>
          <w:rFonts w:hint="default" w:ascii="Times New Roman" w:hAnsi="Times New Roman" w:cs="Times New Roman"/>
        </w:rPr>
        <w:t>健全配置机制</w:t>
      </w:r>
      <w:r>
        <w:rPr>
          <w:rFonts w:hint="default" w:ascii="Times New Roman" w:hAnsi="Times New Roman" w:cs="Times New Roman"/>
          <w:lang w:eastAsia="zh-CN"/>
        </w:rPr>
        <w:t>，</w:t>
      </w:r>
      <w:r>
        <w:rPr>
          <w:rFonts w:hint="default" w:ascii="Times New Roman" w:hAnsi="Times New Roman" w:cs="Times New Roman"/>
        </w:rPr>
        <w:t>强化保障支撑，推动生产要素向新质生产力集聚，提升资源配置效率与全要素生产率。</w:t>
      </w:r>
    </w:p>
    <w:p w14:paraId="3FBCE39C">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rPr>
      </w:pPr>
      <w:r>
        <w:rPr>
          <w:rFonts w:hint="eastAsia" w:ascii="楷体_GB2312" w:hAnsi="楷体_GB2312" w:eastAsia="楷体_GB2312" w:cs="楷体_GB2312"/>
          <w:b w:val="0"/>
          <w:bCs w:val="0"/>
          <w:lang w:val="en-US" w:eastAsia="zh-CN"/>
        </w:rPr>
        <w:t>强化资源要素支撑。</w:t>
      </w:r>
      <w:r>
        <w:rPr>
          <w:rFonts w:hint="default" w:ascii="Times New Roman" w:hAnsi="Times New Roman" w:cs="Times New Roman"/>
        </w:rPr>
        <w:t>全面深化“亩产效益”综合评价改革，深化工业用地“标准地”改革，盘活用好低效用地、闲置房产、存量基础设施，加大批而未供土地处置力度，落实关于工商业用地使用权延期和到期后续期有关政策，提升土地等资源要素节约集约利用水平</w:t>
      </w:r>
      <w:r>
        <w:rPr>
          <w:rFonts w:hint="default" w:ascii="Times New Roman" w:hAnsi="Times New Roman" w:cs="Times New Roman"/>
          <w:lang w:eastAsia="zh-CN"/>
        </w:rPr>
        <w:t>。</w:t>
      </w:r>
      <w:r>
        <w:rPr>
          <w:rFonts w:hint="default" w:ascii="Times New Roman" w:hAnsi="Times New Roman" w:cs="Times New Roman"/>
        </w:rPr>
        <w:t>积极参与构建统一开放的人力资源市场，完善人才柔性流动机制，推动人才资源互认共享。健全资源环境要素市场化交易体系，完善资源环境要素确权、登记、抵押、流转等制度，推进碳排放权、用水权、排污权等市场化交易。</w:t>
      </w:r>
    </w:p>
    <w:p w14:paraId="718E2A09">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rPr>
      </w:pPr>
      <w:r>
        <w:rPr>
          <w:rFonts w:hint="eastAsia" w:ascii="楷体_GB2312" w:hAnsi="楷体_GB2312" w:eastAsia="楷体_GB2312" w:cs="楷体_GB2312"/>
          <w:b w:val="0"/>
          <w:bCs w:val="0"/>
          <w:lang w:val="en-US" w:eastAsia="zh-CN"/>
        </w:rPr>
        <w:t>完善价格治理机制。</w:t>
      </w:r>
      <w:r>
        <w:rPr>
          <w:rFonts w:hint="default" w:ascii="Times New Roman" w:hAnsi="Times New Roman" w:cs="Times New Roman"/>
        </w:rPr>
        <w:t>坚持市场经济改革方向，稳妥有序推进水、能源、交通等重点领域价格改革。健全供水、供气、供热等公用事业价格动态调整机制，强化企业成本约束和收益监管。落实数据要素市场化价格机制，加快构建市场有效、调控有度、监管科学的价格治理机制。强化价格监测预警和调控，落实社会救助和保障标准与物价上涨挂钩联动机制。</w:t>
      </w:r>
    </w:p>
    <w:p w14:paraId="01ABC399">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rPr>
      </w:pPr>
      <w:r>
        <w:rPr>
          <w:rFonts w:hint="eastAsia" w:ascii="楷体_GB2312" w:hAnsi="楷体_GB2312" w:eastAsia="楷体_GB2312" w:cs="楷体_GB2312"/>
          <w:b w:val="0"/>
          <w:bCs w:val="0"/>
          <w:lang w:val="en-US" w:eastAsia="zh-CN"/>
        </w:rPr>
        <w:t>优化要素保障环境。</w:t>
      </w:r>
      <w:r>
        <w:rPr>
          <w:rFonts w:hint="default" w:ascii="Times New Roman" w:hAnsi="Times New Roman" w:cs="Times New Roman"/>
        </w:rPr>
        <w:t>强化能源保障能力</w:t>
      </w:r>
      <w:r>
        <w:rPr>
          <w:rFonts w:hint="default" w:ascii="Times New Roman" w:hAnsi="Times New Roman" w:cs="Times New Roman"/>
          <w:lang w:eastAsia="zh-CN"/>
        </w:rPr>
        <w:t>，</w:t>
      </w:r>
      <w:r>
        <w:rPr>
          <w:rFonts w:hint="default" w:ascii="Times New Roman" w:hAnsi="Times New Roman" w:cs="Times New Roman"/>
        </w:rPr>
        <w:t>保障重点企业、重大项目生产用电需求。实施天然气气源保障和市场扩展项目，完善城乡燃气管网，提升能源供应稳定性。优化物流要素配置</w:t>
      </w:r>
      <w:r>
        <w:rPr>
          <w:rFonts w:hint="default" w:ascii="Times New Roman" w:hAnsi="Times New Roman" w:cs="Times New Roman"/>
          <w:lang w:eastAsia="zh-CN"/>
        </w:rPr>
        <w:t>，</w:t>
      </w:r>
      <w:r>
        <w:rPr>
          <w:rFonts w:hint="default" w:ascii="Times New Roman" w:hAnsi="Times New Roman" w:cs="Times New Roman"/>
        </w:rPr>
        <w:t>整合枣庄港薛城港区、</w:t>
      </w:r>
      <w:r>
        <w:rPr>
          <w:rFonts w:hint="default" w:ascii="Times New Roman" w:hAnsi="Times New Roman" w:cs="Times New Roman"/>
          <w:lang w:val="en-US" w:eastAsia="zh-CN"/>
        </w:rPr>
        <w:t>枣庄</w:t>
      </w:r>
      <w:r>
        <w:rPr>
          <w:rFonts w:hint="default" w:ascii="Times New Roman" w:hAnsi="Times New Roman" w:cs="Times New Roman"/>
        </w:rPr>
        <w:t>内陆港资源，升级智慧物流平台，降低企业物流成本。建立要素协同保障机制</w:t>
      </w:r>
      <w:r>
        <w:rPr>
          <w:rFonts w:hint="default" w:ascii="Times New Roman" w:hAnsi="Times New Roman" w:cs="Times New Roman"/>
          <w:lang w:eastAsia="zh-CN"/>
        </w:rPr>
        <w:t>，</w:t>
      </w:r>
      <w:r>
        <w:rPr>
          <w:rFonts w:hint="default" w:ascii="Times New Roman" w:hAnsi="Times New Roman" w:cs="Times New Roman"/>
        </w:rPr>
        <w:t>建立重点项目要素保障“白名单”制度，对重大项目实行土地、能源、人才、金融等要素协同保障。</w:t>
      </w:r>
    </w:p>
    <w:p w14:paraId="76E7694C">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47" w:name="_Toc738592296"/>
      <w:r>
        <w:rPr>
          <w:rFonts w:hint="eastAsia" w:ascii="楷体_GB2312" w:hAnsi="楷体_GB2312" w:eastAsia="楷体_GB2312" w:cs="楷体_GB2312"/>
          <w:kern w:val="21"/>
          <w:sz w:val="32"/>
          <w:szCs w:val="32"/>
          <w:highlight w:val="none"/>
          <w:lang w:val="en-US" w:eastAsia="zh-CN"/>
        </w:rPr>
        <w:t>第三节  打造一流营商环境</w:t>
      </w:r>
      <w:bookmarkEnd w:id="47"/>
    </w:p>
    <w:p w14:paraId="0C79F5D0">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b w:val="0"/>
          <w:bCs w:val="0"/>
        </w:rPr>
      </w:pPr>
      <w:r>
        <w:rPr>
          <w:rFonts w:hint="default" w:ascii="Times New Roman" w:hAnsi="Times New Roman" w:cs="Times New Roman"/>
          <w:b w:val="0"/>
          <w:bCs w:val="0"/>
          <w:lang w:val="en-US" w:eastAsia="zh-CN"/>
        </w:rPr>
        <w:t>坚持以市场主体需求为导向，聚焦</w:t>
      </w:r>
      <w:r>
        <w:rPr>
          <w:rFonts w:hint="default" w:ascii="Times New Roman" w:hAnsi="Times New Roman" w:cs="Times New Roman"/>
          <w:b w:val="0"/>
          <w:bCs w:val="0"/>
        </w:rPr>
        <w:t>政务服务提质、市场环境优化、法治保障强化、服务效能提升，持续破除体制机制障碍，</w:t>
      </w:r>
      <w:r>
        <w:rPr>
          <w:rFonts w:hint="default" w:ascii="Times New Roman" w:hAnsi="Times New Roman" w:cs="Times New Roman"/>
          <w:b w:val="0"/>
          <w:bCs w:val="0"/>
          <w:lang w:val="en-US" w:eastAsia="zh-CN"/>
        </w:rPr>
        <w:t>着力营造</w:t>
      </w:r>
      <w:r>
        <w:rPr>
          <w:rFonts w:hint="default" w:ascii="Times New Roman" w:hAnsi="Times New Roman" w:cs="Times New Roman"/>
          <w:b w:val="0"/>
          <w:bCs w:val="0"/>
        </w:rPr>
        <w:t>稳定</w:t>
      </w:r>
      <w:r>
        <w:rPr>
          <w:rFonts w:hint="default" w:ascii="Times New Roman" w:hAnsi="Times New Roman" w:cs="Times New Roman"/>
          <w:b w:val="0"/>
          <w:bCs w:val="0"/>
          <w:lang w:eastAsia="zh-CN"/>
        </w:rPr>
        <w:t>、</w:t>
      </w:r>
      <w:r>
        <w:rPr>
          <w:rFonts w:hint="default" w:ascii="Times New Roman" w:hAnsi="Times New Roman" w:cs="Times New Roman"/>
          <w:b w:val="0"/>
          <w:bCs w:val="0"/>
        </w:rPr>
        <w:t>公平</w:t>
      </w:r>
      <w:r>
        <w:rPr>
          <w:rFonts w:hint="default" w:ascii="Times New Roman" w:hAnsi="Times New Roman" w:cs="Times New Roman"/>
          <w:b w:val="0"/>
          <w:bCs w:val="0"/>
          <w:lang w:eastAsia="zh-CN"/>
        </w:rPr>
        <w:t>、</w:t>
      </w:r>
      <w:r>
        <w:rPr>
          <w:rFonts w:hint="default" w:ascii="Times New Roman" w:hAnsi="Times New Roman" w:cs="Times New Roman"/>
          <w:b w:val="0"/>
          <w:bCs w:val="0"/>
        </w:rPr>
        <w:t>透明、可预期的一流营商环境。</w:t>
      </w:r>
    </w:p>
    <w:p w14:paraId="2161C1E3">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rPr>
      </w:pPr>
      <w:r>
        <w:rPr>
          <w:rFonts w:hint="eastAsia" w:ascii="楷体_GB2312" w:hAnsi="楷体_GB2312" w:eastAsia="楷体_GB2312" w:cs="楷体_GB2312"/>
          <w:b w:val="0"/>
          <w:bCs w:val="0"/>
          <w:lang w:val="en-US" w:eastAsia="zh-CN"/>
        </w:rPr>
        <w:t>建设高效便捷的政务环境。</w:t>
      </w:r>
      <w:r>
        <w:rPr>
          <w:rFonts w:hint="default" w:ascii="Times New Roman" w:hAnsi="Times New Roman" w:cs="Times New Roman"/>
        </w:rPr>
        <w:t>以“高效办成一件事”为牵引，</w:t>
      </w:r>
      <w:r>
        <w:rPr>
          <w:rFonts w:hint="default" w:ascii="Times New Roman" w:hAnsi="Times New Roman" w:eastAsia="仿宋_GB2312" w:cs="Times New Roman"/>
          <w:color w:val="auto"/>
          <w:sz w:val="32"/>
          <w:szCs w:val="32"/>
          <w:highlight w:val="none"/>
          <w:u w:val="none" w:color="auto"/>
        </w:rPr>
        <w:t>新增</w:t>
      </w:r>
      <w:r>
        <w:rPr>
          <w:rFonts w:hint="default" w:ascii="Times New Roman" w:hAnsi="Times New Roman"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优化</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一件事</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服务场景</w:t>
      </w:r>
      <w:r>
        <w:rPr>
          <w:rFonts w:hint="default" w:ascii="Times New Roman" w:hAnsi="Times New Roman" w:eastAsia="仿宋_GB2312" w:cs="Times New Roman"/>
          <w:color w:val="auto"/>
          <w:sz w:val="32"/>
          <w:szCs w:val="32"/>
          <w:highlight w:val="none"/>
          <w:u w:val="none" w:color="auto"/>
          <w:shd w:val="clear" w:color="auto" w:fill="auto"/>
          <w:lang w:eastAsia="zh-CN"/>
        </w:rPr>
        <w:t>，</w:t>
      </w:r>
      <w:r>
        <w:rPr>
          <w:rFonts w:hint="default" w:ascii="Times New Roman" w:hAnsi="Times New Roman" w:cs="Times New Roman"/>
        </w:rPr>
        <w:t>实现高频政务服务事项好办易办。</w:t>
      </w:r>
      <w:r>
        <w:rPr>
          <w:rFonts w:hint="default" w:ascii="Times New Roman" w:hAnsi="Times New Roman" w:eastAsia="仿宋_GB2312" w:cs="Times New Roman"/>
          <w:color w:val="auto"/>
          <w:sz w:val="32"/>
          <w:szCs w:val="32"/>
          <w:highlight w:val="none"/>
          <w:u w:val="none" w:color="auto"/>
        </w:rPr>
        <w:t>强化数字赋能，探索电子印章、身份证电子证照在政务服务领域的应用，加快打造</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无证明城市</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w:t>
      </w:r>
      <w:r>
        <w:rPr>
          <w:rFonts w:hint="default" w:ascii="Times New Roman" w:hAnsi="Times New Roman" w:cs="Times New Roman"/>
        </w:rPr>
        <w:t>推广“不见面审批”模式，依托线上政务平台、移动服务终端，推动社保参保缴费、医保报销、税费申报等高频事项“全程网办”。</w:t>
      </w:r>
      <w:r>
        <w:rPr>
          <w:rFonts w:hint="default" w:ascii="Times New Roman" w:hAnsi="Times New Roman" w:eastAsia="仿宋_GB2312" w:cs="Times New Roman"/>
          <w:color w:val="auto"/>
          <w:sz w:val="32"/>
          <w:szCs w:val="32"/>
          <w:highlight w:val="none"/>
          <w:u w:val="none" w:color="auto"/>
        </w:rPr>
        <w:t>完善涉企经营许可事项清单管理制度，推进审批制度改革，</w:t>
      </w:r>
      <w:r>
        <w:rPr>
          <w:rFonts w:hint="default" w:ascii="Times New Roman" w:hAnsi="Times New Roman" w:cs="Times New Roman"/>
          <w:color w:val="auto"/>
          <w:sz w:val="32"/>
          <w:szCs w:val="32"/>
          <w:highlight w:val="none"/>
          <w:u w:val="none" w:color="auto"/>
          <w:lang w:val="en-US" w:eastAsia="zh-CN"/>
        </w:rPr>
        <w:t>实现</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准入即准营</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，降低企业的市场准入门槛</w:t>
      </w:r>
      <w:r>
        <w:rPr>
          <w:rFonts w:hint="default" w:ascii="Times New Roman" w:hAnsi="Times New Roman" w:cs="Times New Roman"/>
        </w:rPr>
        <w:t>。</w:t>
      </w:r>
    </w:p>
    <w:p w14:paraId="6C39615B">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rPr>
      </w:pPr>
      <w:r>
        <w:rPr>
          <w:rFonts w:hint="eastAsia" w:ascii="楷体_GB2312" w:hAnsi="楷体_GB2312" w:eastAsia="楷体_GB2312" w:cs="楷体_GB2312"/>
          <w:b w:val="0"/>
          <w:bCs w:val="0"/>
          <w:lang w:val="en-US" w:eastAsia="zh-CN"/>
        </w:rPr>
        <w:t>建设公平竞争的市场环境。</w:t>
      </w:r>
      <w:r>
        <w:rPr>
          <w:rFonts w:hint="default" w:ascii="Times New Roman" w:hAnsi="Times New Roman" w:cs="Times New Roman"/>
        </w:rPr>
        <w:t>破除市场准入壁垒，确保民营企业、中小企业与国有企业在市场准入、资源配置、政策支持等方面享受同等待遇。规范涉企收费管理</w:t>
      </w:r>
      <w:r>
        <w:rPr>
          <w:rFonts w:hint="default" w:ascii="Times New Roman" w:hAnsi="Times New Roman" w:cs="Times New Roman"/>
          <w:lang w:eastAsia="zh-CN"/>
        </w:rPr>
        <w:t>，</w:t>
      </w:r>
      <w:r>
        <w:rPr>
          <w:rFonts w:hint="default" w:ascii="Times New Roman" w:hAnsi="Times New Roman" w:cs="Times New Roman"/>
        </w:rPr>
        <w:t>严厉查处行业协会、公用事业单位乱收费、乱摊派、强制服务等行为。推动水、电、气、暖、物流等公用事业收费标准公开透明，严禁擅自提高收费标准、增设收费项目。创新涉企监管模式</w:t>
      </w:r>
      <w:r>
        <w:rPr>
          <w:rFonts w:hint="default" w:ascii="Times New Roman" w:hAnsi="Times New Roman" w:cs="Times New Roman"/>
          <w:lang w:eastAsia="zh-CN"/>
        </w:rPr>
        <w:t>，</w:t>
      </w:r>
      <w:r>
        <w:rPr>
          <w:rFonts w:hint="default" w:ascii="Times New Roman" w:hAnsi="Times New Roman" w:cs="Times New Roman"/>
        </w:rPr>
        <w:t>推行涉企行政执法检查清单制，明确检查频次、范围和流程，对信用良好的企业“无事不扰”，避免重复检查、随意检查。</w:t>
      </w:r>
    </w:p>
    <w:p w14:paraId="56246F2A">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rPr>
      </w:pPr>
      <w:r>
        <w:rPr>
          <w:rFonts w:hint="eastAsia" w:ascii="楷体_GB2312" w:hAnsi="楷体_GB2312" w:eastAsia="楷体_GB2312" w:cs="楷体_GB2312"/>
          <w:b w:val="0"/>
          <w:bCs w:val="0"/>
          <w:lang w:val="en-US" w:eastAsia="zh-CN"/>
        </w:rPr>
        <w:t>建设公正透明的法治环境。</w:t>
      </w:r>
      <w:r>
        <w:rPr>
          <w:rFonts w:hint="default" w:ascii="Times New Roman" w:hAnsi="Times New Roman" w:cs="Times New Roman"/>
        </w:rPr>
        <w:t>规范行政执法行为</w:t>
      </w:r>
      <w:r>
        <w:rPr>
          <w:rFonts w:hint="default" w:ascii="Times New Roman" w:hAnsi="Times New Roman" w:cs="Times New Roman"/>
          <w:lang w:eastAsia="zh-CN"/>
        </w:rPr>
        <w:t>，</w:t>
      </w:r>
      <w:r>
        <w:rPr>
          <w:rFonts w:hint="default" w:ascii="Times New Roman" w:hAnsi="Times New Roman" w:cs="Times New Roman"/>
        </w:rPr>
        <w:t>严格落实行政执法公示、执法全过程记录、重大执法决定法制审核“三项制度”，规范执法程序和自由裁量权，确保执法行为合法合规。推行“柔性执法”，在安全生产、生态环保等领域推行“执法+指导”模式，为企业提供合规指导，帮助企业整改提升，避免“重处罚、轻服务”。完善纠纷化解机制</w:t>
      </w:r>
      <w:r>
        <w:rPr>
          <w:rFonts w:hint="default" w:ascii="Times New Roman" w:hAnsi="Times New Roman" w:cs="Times New Roman"/>
          <w:lang w:eastAsia="zh-CN"/>
        </w:rPr>
        <w:t>，</w:t>
      </w:r>
      <w:r>
        <w:rPr>
          <w:rFonts w:hint="default" w:ascii="Times New Roman" w:hAnsi="Times New Roman" w:cs="Times New Roman"/>
        </w:rPr>
        <w:t>建立涉企纠纷快速化解通道，整合行政调解、人民调解、司法调解资源，推行“调解+仲裁+诉讼”多元化解模式，高效化解合同纠纷、劳动争议等涉企纠纷。发布涉企法治服务指南，让企业办事依法、遇事找法、解决问题用法、化解矛盾靠法。</w:t>
      </w:r>
    </w:p>
    <w:p w14:paraId="40A73775">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48" w:name="_Toc1149958036"/>
      <w:r>
        <w:rPr>
          <w:rFonts w:hint="eastAsia" w:ascii="楷体_GB2312" w:hAnsi="楷体_GB2312" w:eastAsia="楷体_GB2312" w:cs="楷体_GB2312"/>
          <w:kern w:val="21"/>
          <w:sz w:val="32"/>
          <w:szCs w:val="32"/>
          <w:highlight w:val="none"/>
          <w:lang w:val="en-US" w:eastAsia="zh-CN"/>
        </w:rPr>
        <w:t>第四节  提升招商引资质效</w:t>
      </w:r>
      <w:bookmarkEnd w:id="48"/>
    </w:p>
    <w:p w14:paraId="75C4F7A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积极应对新时期招商引资工作面临的新形势，聚焦重点产业、关键环节，建立健全链式招商和招商引资揭榜挂帅机制，着力引进龙头项目和补链强链项目。</w:t>
      </w:r>
    </w:p>
    <w:p w14:paraId="2E10CBF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精准把握招商方向。</w:t>
      </w:r>
      <w:r>
        <w:rPr>
          <w:rFonts w:hint="default" w:ascii="Times New Roman" w:hAnsi="Times New Roman" w:cs="Times New Roman"/>
          <w:bCs/>
          <w:sz w:val="32"/>
          <w:szCs w:val="32"/>
          <w:lang w:val="en-US" w:eastAsia="zh-CN"/>
        </w:rPr>
        <w:t>聚焦</w:t>
      </w:r>
      <w:r>
        <w:rPr>
          <w:rFonts w:hint="eastAsia" w:ascii="Times New Roman" w:hAnsi="Times New Roman" w:cs="Times New Roman"/>
          <w:bCs/>
          <w:sz w:val="32"/>
          <w:szCs w:val="32"/>
          <w:lang w:val="en-US" w:eastAsia="zh-CN"/>
        </w:rPr>
        <w:t>化工新材料</w:t>
      </w:r>
      <w:r>
        <w:rPr>
          <w:rFonts w:hint="default" w:ascii="Times New Roman" w:hAnsi="Times New Roman" w:cs="Times New Roman"/>
          <w:bCs/>
          <w:sz w:val="32"/>
          <w:szCs w:val="32"/>
          <w:lang w:val="en-US" w:eastAsia="zh-CN"/>
        </w:rPr>
        <w:t>、低空经济、新能源、现代轻工、高端装备、文旅康养等重点产业，瞄准产业链关键环节与薄弱环节，推动产业链上下游协同集聚，完善产业生态。强化平台载体招商，依托薛城经济开发区、化工产业园、低空经济动力谷等载体，重点引进填补产业空白、提升产业链能级的补链项目和技术密集、附加值高的强链项目；推动闲置厂房、低效用地“腾笼换鸟”，招引符合产业导向的优质项目盘活存量资源。开展新兴业态招商，主动对接数字经济、智能制造、跨境电商等新兴领域，招引平台型、创新型项目，培育新的经济增长点；聚焦总部经济、楼宇经济，吸引区域总部、功能性总部项目落地，提升城市经济能级。</w:t>
      </w:r>
    </w:p>
    <w:p w14:paraId="240B4D9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创新招商引资模式。</w:t>
      </w:r>
      <w:r>
        <w:rPr>
          <w:rFonts w:hint="default" w:ascii="Times New Roman" w:hAnsi="Times New Roman" w:cs="Times New Roman"/>
          <w:bCs/>
          <w:sz w:val="32"/>
          <w:szCs w:val="32"/>
          <w:lang w:val="en-US" w:eastAsia="zh-CN"/>
        </w:rPr>
        <w:t>强化以商招商，依托现有龙头企业、外资企业，吸引其关联企业、合作伙伴来薛投资。优化云招商模式，通过线上推介会、云端洽谈会、视频签约等方式提升招商效率。深化基金招商，发挥产业发展基金撬动作用，对接创投机构、产业基金，招引优质项目落地。加强专业机构合作招商，与知名招商咨询机构、行业协会建立合作，精准对接项目资源。强化政企银协同招商，搭建政企对接、银企合作平台，整合政策、资金、载体资源，为意向项目提供“政策解读+融资对接+场地匹配”一体化服务，提升项目落地转化率。</w:t>
      </w:r>
    </w:p>
    <w:p w14:paraId="63AA312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健全招商工作机制。</w:t>
      </w:r>
      <w:r>
        <w:rPr>
          <w:rFonts w:hint="default" w:ascii="Times New Roman" w:hAnsi="Times New Roman" w:cs="Times New Roman"/>
          <w:bCs/>
          <w:sz w:val="32"/>
          <w:szCs w:val="32"/>
          <w:lang w:val="en-US" w:eastAsia="zh-CN"/>
        </w:rPr>
        <w:t>实施揭榜挂帅招商机制，对重点地块、重大项目公开张榜，明确招商目标和任务，调动各方资源。完善统筹协调机制，建立招商引资工作联席会议制度，定期协调解决项目洽谈落地中的重大问题，形成上下联动、部门协同的招商工作合力。强化队伍建设，组建专业化招商队伍，围绕产业政策、招商技巧、项目评估等开展专项培训；建立招商人才交流机制，引进培育懂产业、善谈判、强服务的复合型招商人才，鼓励招商人员深入产业一线调研，提升招商专业化、精准化水平。</w:t>
      </w:r>
    </w:p>
    <w:p w14:paraId="6BF8CA2B">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49" w:name="_Toc1052538117"/>
      <w:r>
        <w:rPr>
          <w:rFonts w:hint="eastAsia" w:ascii="楷体_GB2312" w:hAnsi="楷体_GB2312" w:eastAsia="楷体_GB2312" w:cs="楷体_GB2312"/>
          <w:kern w:val="21"/>
          <w:sz w:val="32"/>
          <w:szCs w:val="32"/>
          <w:highlight w:val="none"/>
          <w:lang w:val="en-US" w:eastAsia="zh-CN"/>
        </w:rPr>
        <w:t>第五节  扩大高水平对外开放</w:t>
      </w:r>
      <w:bookmarkEnd w:id="49"/>
    </w:p>
    <w:p w14:paraId="3FEAB8E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以制度型开放为核心、以区域协同为纽带，统筹推进外贸提质增效、外资精准引进、企业“走出去”，全面拓宽开放领域、提升开放层次。</w:t>
      </w:r>
    </w:p>
    <w:p w14:paraId="5A12215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lang w:val="en-US" w:eastAsia="zh-CN"/>
        </w:rPr>
        <w:t>着力推动外贸高质量发展。</w:t>
      </w:r>
      <w:r>
        <w:rPr>
          <w:rFonts w:hint="default" w:ascii="Times New Roman" w:hAnsi="Times New Roman" w:cs="Times New Roman"/>
          <w:bCs/>
          <w:sz w:val="32"/>
          <w:szCs w:val="32"/>
          <w:lang w:val="en-US" w:eastAsia="zh-CN"/>
        </w:rPr>
        <w:t>构建“龙头引领、中小培育”的市场主体体系，支持企业拓展海外市场，力争新培育年出口额超亿元龙头企业5家以上；依托龙工厂跨境电商产业园为中小微企业提供报关、退税等“一站式”集成服务，帮助中小微企业开拓国际市场。优化出口产品结构，提升传统出口产品技术含量和品牌效益，推动化工新材料、智能装备、特色轻工产品等高附加值产品出口。拓展国际市场渠道，巩固欧美、日韩传统市场，开拓东盟、中东等新兴市场。</w:t>
      </w:r>
      <w:r>
        <w:rPr>
          <w:rFonts w:hint="default" w:ascii="Times New Roman" w:hAnsi="Times New Roman" w:cs="Times New Roman"/>
          <w:bCs/>
          <w:sz w:val="32"/>
          <w:szCs w:val="32"/>
          <w:highlight w:val="none"/>
          <w:lang w:val="en-US" w:eastAsia="zh-CN"/>
        </w:rPr>
        <w:t>发展外贸新模式、新业态，高效运营枣庄内陆港、龙工场跨境电商产业园，壮大跨境电商规模。</w:t>
      </w:r>
      <w:r>
        <w:rPr>
          <w:rFonts w:hint="default" w:ascii="Times New Roman" w:hAnsi="Times New Roman" w:eastAsia="仿宋_GB2312" w:cs="Times New Roman"/>
          <w:color w:val="auto"/>
          <w:sz w:val="32"/>
          <w:szCs w:val="32"/>
          <w:highlight w:val="none"/>
          <w:u w:val="none" w:color="auto"/>
        </w:rPr>
        <w:t>创新发展数字贸易，</w:t>
      </w:r>
      <w:r>
        <w:rPr>
          <w:rFonts w:hint="default" w:ascii="Times New Roman" w:hAnsi="Times New Roman" w:eastAsia="仿宋_GB2312" w:cs="Times New Roman"/>
          <w:snapToGrid w:val="0"/>
          <w:color w:val="auto"/>
          <w:kern w:val="0"/>
          <w:sz w:val="32"/>
          <w:szCs w:val="32"/>
          <w:highlight w:val="none"/>
          <w:u w:val="none" w:color="auto"/>
        </w:rPr>
        <w:t>支持企业打造云工厂、云展示、云直播、云洽谈，推进贸易数字化。</w:t>
      </w:r>
    </w:p>
    <w:p w14:paraId="5449C9F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精准引进优质外资。</w:t>
      </w:r>
      <w:r>
        <w:rPr>
          <w:rFonts w:hint="default" w:ascii="Times New Roman" w:hAnsi="Times New Roman" w:cs="Times New Roman"/>
          <w:bCs/>
          <w:sz w:val="32"/>
          <w:szCs w:val="32"/>
          <w:lang w:val="en-US" w:eastAsia="zh-CN"/>
        </w:rPr>
        <w:t>牢固树立“谈项目必谈外资、谈项目先谈外资”理念，紧扣产业升级需求，精准对接外资项目。深化以商招商，依托杰富意化工、伟伦鞋业、中力阀门等骨干外资企业，引进关联企业、合作伙伴，形成“引进一个、带动一串”的招商效应。为重点外资项目配备服务专员，确保项目“引得进、留得住、发展好”。落实外资企业国民待遇，清理妨碍外资公平竞争的政策壁垒，推动外资企业在项目投标、标准制定、政府采购等方面与本土企业享受同等待遇。</w:t>
      </w:r>
    </w:p>
    <w:p w14:paraId="49E8C68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eastAsia="楷体_GB2312" w:cs="Times New Roman"/>
          <w:bCs/>
          <w:sz w:val="32"/>
          <w:szCs w:val="32"/>
          <w:lang w:val="en-US" w:eastAsia="zh-CN"/>
        </w:rPr>
        <w:t>支持企业有序“走出去”。</w:t>
      </w:r>
      <w:r>
        <w:rPr>
          <w:rFonts w:hint="default" w:ascii="Times New Roman" w:hAnsi="Times New Roman" w:cs="Times New Roman"/>
          <w:bCs/>
          <w:sz w:val="32"/>
          <w:szCs w:val="32"/>
          <w:lang w:val="en-US" w:eastAsia="zh-CN"/>
        </w:rPr>
        <w:t>培育本土跨国经营主体，支持</w:t>
      </w:r>
      <w:r>
        <w:rPr>
          <w:rFonts w:hint="eastAsia" w:ascii="Times New Roman" w:hAnsi="Times New Roman" w:cs="Times New Roman"/>
          <w:kern w:val="21"/>
          <w:sz w:val="32"/>
          <w:szCs w:val="32"/>
          <w:lang w:val="en-US" w:eastAsia="zh-CN"/>
        </w:rPr>
        <w:t>化工新材料</w:t>
      </w:r>
      <w:r>
        <w:rPr>
          <w:rFonts w:hint="default" w:ascii="Times New Roman" w:hAnsi="Times New Roman" w:cs="Times New Roman"/>
          <w:bCs/>
          <w:sz w:val="32"/>
          <w:szCs w:val="32"/>
          <w:lang w:val="en-US" w:eastAsia="zh-CN"/>
        </w:rPr>
        <w:t>、新能源、高端装备等领域龙头企业通过海外并购、合资合作等方式拓展海外业务，带动上下游中小企业协同出海。支持企业参加广交会、华交会等国内外重大展会，搭建海外市场对接桥梁，提升企业跨国经营管理水平和市场开拓能力。深化“一带一路”共建合作，引导企业参与沿线国家基础设施建设与产能合作，根据不同区域市场需求差异化布局海外业务。完善海外风险防控体系，支持企业参与出口信用保险与海外投资保险，健全涉外法律服务机制，保障企业海外权益。</w:t>
      </w:r>
    </w:p>
    <w:p w14:paraId="32E27B3B">
      <w:pPr>
        <w:ind w:left="0" w:leftChars="0" w:firstLine="0" w:firstLineChars="0"/>
        <w:rPr>
          <w:rFonts w:hint="default" w:ascii="Times New Roman" w:hAnsi="Times New Roman" w:cs="Times New Roman"/>
          <w:bCs/>
          <w:sz w:val="32"/>
          <w:szCs w:val="32"/>
          <w:lang w:val="en-US" w:eastAsia="zh-CN"/>
        </w:rPr>
      </w:pPr>
    </w:p>
    <w:p w14:paraId="76CC3556">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0" w:firstLineChars="0"/>
        <w:jc w:val="center"/>
        <w:textAlignment w:val="auto"/>
        <w:outlineLvl w:val="0"/>
        <w:rPr>
          <w:rFonts w:hint="eastAsia" w:ascii="黑体" w:hAnsi="黑体" w:eastAsia="黑体" w:cs="黑体"/>
          <w:b w:val="0"/>
          <w:bCs/>
          <w:spacing w:val="0"/>
          <w:kern w:val="21"/>
          <w:sz w:val="32"/>
          <w:szCs w:val="32"/>
          <w:lang w:val="en-US" w:eastAsia="zh-CN"/>
        </w:rPr>
      </w:pPr>
      <w:bookmarkStart w:id="50" w:name="_Toc549169292"/>
      <w:r>
        <w:rPr>
          <w:rFonts w:hint="eastAsia" w:ascii="黑体" w:hAnsi="黑体" w:eastAsia="黑体" w:cs="黑体"/>
          <w:b w:val="0"/>
          <w:bCs/>
          <w:spacing w:val="0"/>
          <w:kern w:val="21"/>
          <w:sz w:val="32"/>
          <w:szCs w:val="32"/>
          <w:lang w:val="en-US" w:eastAsia="zh-CN"/>
        </w:rPr>
        <w:t>第八章  扎实推进乡村全面振兴，加快农业农村现代化</w:t>
      </w:r>
      <w:bookmarkEnd w:id="50"/>
    </w:p>
    <w:p w14:paraId="5C6F8AB2">
      <w:pPr>
        <w:keepNext w:val="0"/>
        <w:keepLines w:val="0"/>
        <w:pageBreakBefore w:val="0"/>
        <w:widowControl w:val="0"/>
        <w:kinsoku/>
        <w:wordWrap/>
        <w:overflowPunct/>
        <w:topLinePunct w:val="0"/>
        <w:autoSpaceDE/>
        <w:autoSpaceDN/>
        <w:bidi w:val="0"/>
        <w:adjustRightInd w:val="0"/>
        <w:snapToGrid w:val="0"/>
        <w:spacing w:before="313" w:beforeLines="100" w:line="580" w:lineRule="exact"/>
        <w:ind w:firstLine="640" w:firstLineChars="200"/>
        <w:jc w:val="both"/>
        <w:textAlignment w:val="auto"/>
        <w:outlineLvl w:val="9"/>
        <w:rPr>
          <w:rFonts w:hint="default" w:ascii="Times New Roman" w:hAnsi="Times New Roman" w:cs="Times New Roman"/>
          <w:spacing w:val="0"/>
          <w:kern w:val="21"/>
          <w:sz w:val="32"/>
          <w:szCs w:val="32"/>
          <w:lang w:val="en-US" w:eastAsia="zh-CN"/>
        </w:rPr>
      </w:pPr>
      <w:r>
        <w:rPr>
          <w:rFonts w:hint="default" w:ascii="Times New Roman" w:hAnsi="Times New Roman" w:cs="Times New Roman"/>
          <w:spacing w:val="0"/>
          <w:kern w:val="21"/>
          <w:sz w:val="32"/>
          <w:szCs w:val="32"/>
          <w:lang w:val="en-US" w:eastAsia="zh-CN"/>
        </w:rPr>
        <w:t>坚持农业农村优先发展，深入落实枣庄国家可持续发展议程创新示范区工作部署，以片区建设为抓手，加快农业农村现代化步伐，推动农业增效益、农民增收入、农村增活力。</w:t>
      </w:r>
    </w:p>
    <w:p w14:paraId="5169000E">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51" w:name="_Toc1881890344"/>
      <w:r>
        <w:rPr>
          <w:rFonts w:hint="eastAsia" w:ascii="楷体_GB2312" w:hAnsi="楷体_GB2312" w:eastAsia="楷体_GB2312" w:cs="楷体_GB2312"/>
          <w:kern w:val="21"/>
          <w:sz w:val="32"/>
          <w:szCs w:val="32"/>
          <w:highlight w:val="none"/>
          <w:lang w:val="en-US" w:eastAsia="zh-CN"/>
        </w:rPr>
        <w:t>第一节  推动乡村产业高质高效发展</w:t>
      </w:r>
      <w:bookmarkEnd w:id="51"/>
    </w:p>
    <w:p w14:paraId="5862553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kern w:val="21"/>
          <w:sz w:val="32"/>
          <w:szCs w:val="32"/>
          <w:lang w:val="en-US" w:eastAsia="zh-CN"/>
        </w:rPr>
      </w:pPr>
      <w:r>
        <w:rPr>
          <w:rFonts w:hint="default" w:ascii="Times New Roman" w:hAnsi="Times New Roman" w:cs="Times New Roman"/>
          <w:spacing w:val="0"/>
          <w:kern w:val="21"/>
          <w:sz w:val="32"/>
          <w:szCs w:val="32"/>
          <w:lang w:val="en-US" w:eastAsia="zh-CN"/>
        </w:rPr>
        <w:t>立足各镇街资源禀赋和农业实际，科学规划各镇街农业发</w:t>
      </w:r>
      <w:r>
        <w:rPr>
          <w:rFonts w:hint="default" w:ascii="Times New Roman" w:hAnsi="Times New Roman" w:cs="Times New Roman"/>
          <w:spacing w:val="6"/>
          <w:kern w:val="21"/>
          <w:sz w:val="32"/>
          <w:szCs w:val="32"/>
          <w:lang w:val="en-US" w:eastAsia="zh-CN"/>
        </w:rPr>
        <w:t>展重点和主攻方向，提升产业融合发展水平，加快现代农业发展。</w:t>
      </w:r>
    </w:p>
    <w:p w14:paraId="0D061E4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kern w:val="21"/>
          <w:sz w:val="32"/>
          <w:szCs w:val="32"/>
          <w:lang w:val="en-US" w:eastAsia="zh-CN"/>
        </w:rPr>
      </w:pPr>
      <w:r>
        <w:rPr>
          <w:rFonts w:hint="eastAsia" w:ascii="楷体_GB2312" w:hAnsi="楷体_GB2312" w:eastAsia="楷体_GB2312" w:cs="楷体_GB2312"/>
          <w:spacing w:val="0"/>
          <w:kern w:val="21"/>
          <w:sz w:val="32"/>
          <w:szCs w:val="32"/>
          <w:lang w:val="en-US" w:eastAsia="zh-CN"/>
        </w:rPr>
        <w:t>稳步提升粮食综合保障能力。</w:t>
      </w:r>
      <w:r>
        <w:rPr>
          <w:rFonts w:hint="default" w:ascii="Times New Roman" w:hAnsi="Times New Roman" w:cs="Times New Roman"/>
          <w:spacing w:val="0"/>
          <w:kern w:val="21"/>
          <w:sz w:val="32"/>
          <w:szCs w:val="32"/>
          <w:lang w:val="en-US" w:eastAsia="zh-CN"/>
        </w:rPr>
        <w:t>落实耕地保护制度，守住永久基本农田红线，加快高标准农田改造，持续推进粮油作物大面积单产提升行动，梯次打造“百亩攻关田、千亩示范方、万亩辐射片”。实施地方储备粮库扩建项目，确保储备粮数量充足、质量达标，培育重要农产品稳产保供基地，配套建设产地冷藏保鲜设施。确保粮食播种面积稳定在49万亩以上、总产量稳定在20万吨以上。</w:t>
      </w:r>
    </w:p>
    <w:p w14:paraId="5D9975C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kern w:val="21"/>
          <w:sz w:val="32"/>
          <w:szCs w:val="32"/>
          <w:lang w:val="en-US" w:eastAsia="zh-CN"/>
        </w:rPr>
      </w:pPr>
      <w:r>
        <w:rPr>
          <w:rFonts w:hint="eastAsia" w:ascii="楷体_GB2312" w:hAnsi="楷体_GB2312" w:eastAsia="楷体_GB2312" w:cs="楷体_GB2312"/>
          <w:spacing w:val="0"/>
          <w:kern w:val="21"/>
          <w:sz w:val="32"/>
          <w:szCs w:val="32"/>
          <w:lang w:val="en-US" w:eastAsia="zh-CN"/>
        </w:rPr>
        <w:t>做强优势特色种养业。</w:t>
      </w:r>
      <w:r>
        <w:rPr>
          <w:rFonts w:hint="default" w:ascii="Times New Roman" w:hAnsi="Times New Roman" w:cs="Times New Roman"/>
          <w:spacing w:val="0"/>
          <w:kern w:val="21"/>
          <w:sz w:val="32"/>
          <w:szCs w:val="32"/>
          <w:lang w:val="en-US" w:eastAsia="zh-CN"/>
        </w:rPr>
        <w:t>聚焦稳产量、提质量、创特色，优化种养结构，构建多元化、标准化、集约化的特色种养体系。保障重要农产品供给，稳定优质小麦、玉米等粮食作物种植面积，挖掘设施农业潜力，推进高标准温室大棚建设提升，做强马铃薯、薄皮辣椒等区域特色产业，保障蔬菜供应，到2030年产量稳定在25万吨以上；推进老旧果园更新改造与现代果园建设，落实全市石榴产业高质量发展规划，扶持多子多福、甄沃食品等企业开发石榴汁、石榴酒、石榴保健品，力争2030年石榴产业链总产值突破10亿元。壮大生猪、蛋鸡、肉鸡等传统养殖业，鼓励发展肉兔、黑猪、黑牛等特色养殖，支持集中连片池塘标准化改造与工厂化循环水养殖，到2030年肉蛋奶产量达3.5万吨、水产品产量达1200吨以上。</w:t>
      </w:r>
    </w:p>
    <w:p w14:paraId="55947F1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kern w:val="21"/>
          <w:sz w:val="32"/>
          <w:szCs w:val="32"/>
          <w:lang w:val="en-US" w:eastAsia="zh-CN"/>
        </w:rPr>
      </w:pPr>
      <w:r>
        <w:rPr>
          <w:rFonts w:hint="eastAsia" w:ascii="楷体_GB2312" w:hAnsi="楷体_GB2312" w:eastAsia="楷体_GB2312" w:cs="楷体_GB2312"/>
          <w:spacing w:val="0"/>
          <w:kern w:val="21"/>
          <w:sz w:val="32"/>
          <w:szCs w:val="32"/>
          <w:lang w:val="en-US" w:eastAsia="zh-CN"/>
        </w:rPr>
        <w:t>加强农产品品牌培育。</w:t>
      </w:r>
      <w:r>
        <w:rPr>
          <w:rFonts w:hint="default" w:ascii="Times New Roman" w:hAnsi="Times New Roman" w:cs="Times New Roman"/>
          <w:spacing w:val="0"/>
          <w:kern w:val="21"/>
          <w:sz w:val="32"/>
          <w:szCs w:val="32"/>
          <w:lang w:val="en-US" w:eastAsia="zh-CN"/>
        </w:rPr>
        <w:t>大力实施农业品牌化战略，深挖“土特产”资源，构建“区域公用品牌+企业品牌+产品品牌”三级品牌体系，提升农产品市场竞争力。打造区域公用品牌，整合辣子鸡、马铃薯、薄皮辣椒等特色产业资源，做优“薛国尚品”农产品区域公用品牌，制定品牌准入标准、质量控制规范与运营管理办法，提升品牌公信力。培育特色产品品牌，落实枣庄辣子鸡产业高质量发展措施，推进本地草鸡标准化养殖、薄皮辣椒规模化种植，</w:t>
      </w:r>
      <w:r>
        <w:rPr>
          <w:rFonts w:hint="default" w:ascii="Times New Roman" w:hAnsi="Times New Roman" w:cs="Times New Roman"/>
          <w:spacing w:val="0"/>
          <w:kern w:val="21"/>
          <w:sz w:val="32"/>
          <w:szCs w:val="32"/>
          <w:highlight w:val="none"/>
          <w:lang w:val="en-US" w:eastAsia="zh-CN"/>
        </w:rPr>
        <w:t>推广“后湾辣子鸡”品牌，</w:t>
      </w:r>
      <w:r>
        <w:rPr>
          <w:rFonts w:hint="default" w:ascii="Times New Roman" w:hAnsi="Times New Roman" w:cs="Times New Roman"/>
          <w:spacing w:val="0"/>
          <w:kern w:val="21"/>
          <w:sz w:val="32"/>
          <w:szCs w:val="32"/>
          <w:lang w:val="en-US" w:eastAsia="zh-CN"/>
        </w:rPr>
        <w:t>拓展真空速食、连锁经营业态，力争2030年全区辣子鸡产业年产值突破20亿元。拓宽品牌推广渠道，组织企业参加全国农产品展销会、山东农交会等展会，利用电商平台、直播带货、新媒体矩阵开展品牌宣传；推进“农超对接”“农校对接”“农企对接”，建立稳定的线下销售网络，提升薛城农产品市场辨识度与占有率。到2030年，培育省市级特色农产品品牌50个。开展农产品质量安全和品质双提升行动，加强绿色、有机、名特优新和地理标志农产品培育。健全“三品一标”认证体系，建立农产品质量追溯平台，实现生产有记录、流向可追踪、质量可追溯。</w:t>
      </w:r>
    </w:p>
    <w:p w14:paraId="3DCAFE6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kern w:val="21"/>
          <w:sz w:val="32"/>
          <w:szCs w:val="32"/>
          <w:lang w:val="en-US" w:eastAsia="zh-CN"/>
        </w:rPr>
      </w:pPr>
      <w:r>
        <w:rPr>
          <w:rFonts w:hint="eastAsia" w:ascii="楷体_GB2312" w:hAnsi="楷体_GB2312" w:eastAsia="楷体_GB2312" w:cs="楷体_GB2312"/>
          <w:spacing w:val="0"/>
          <w:kern w:val="21"/>
          <w:sz w:val="32"/>
          <w:szCs w:val="32"/>
          <w:lang w:val="en-US" w:eastAsia="zh-CN"/>
        </w:rPr>
        <w:t>培育壮大新型农业经营主体。</w:t>
      </w:r>
      <w:r>
        <w:rPr>
          <w:rFonts w:hint="default" w:ascii="Times New Roman" w:hAnsi="Times New Roman" w:cs="Times New Roman"/>
          <w:spacing w:val="0"/>
          <w:kern w:val="21"/>
          <w:sz w:val="32"/>
          <w:szCs w:val="32"/>
          <w:lang w:val="en-US" w:eastAsia="zh-CN"/>
        </w:rPr>
        <w:t>以新型经营主体为纽带，带动小农户融入现代农业发展格局，提升乡村产业组织化程度。开展分类扶持培育，重点扶持家庭农场、农民专业合作社、农业产业化龙头企业，实施“新型经营主体培育行动”，通过财政补贴、信贷贴息、项目倾斜等政策，支持经营主体扩大规模、提升能力；开展经营主体负责人培训，提升其种养技术、市场运营、财务管理能力。完善利益联结，推广“龙头企业+合作社+农户”“家庭农场+农户”等模式，通过订单农业、保底收购、分红返利、股份合作等方式，建立风险共担、利益共享的联结机制，确保小农户分享产业增值收益。到2030年，培育30家具有地域特色、带动能力强的农民合作社和家庭农场。</w:t>
      </w:r>
    </w:p>
    <w:p w14:paraId="08FE398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eastAsia="仿宋_GB2312" w:cs="Times New Roman"/>
          <w:spacing w:val="0"/>
          <w:kern w:val="21"/>
          <w:sz w:val="32"/>
          <w:szCs w:val="32"/>
          <w:lang w:val="en-US" w:eastAsia="zh-CN"/>
        </w:rPr>
      </w:pPr>
      <w:r>
        <w:rPr>
          <w:rFonts w:hint="eastAsia" w:ascii="楷体_GB2312" w:hAnsi="楷体_GB2312" w:eastAsia="楷体_GB2312" w:cs="楷体_GB2312"/>
          <w:spacing w:val="0"/>
          <w:kern w:val="21"/>
          <w:sz w:val="32"/>
          <w:szCs w:val="32"/>
          <w:lang w:val="en-US" w:eastAsia="zh-CN"/>
        </w:rPr>
        <w:t>提升农产品加工能力。</w:t>
      </w:r>
      <w:r>
        <w:rPr>
          <w:rFonts w:hint="default" w:ascii="Times New Roman" w:hAnsi="Times New Roman" w:eastAsia="仿宋_GB2312" w:cs="Times New Roman"/>
          <w:spacing w:val="0"/>
          <w:kern w:val="21"/>
          <w:sz w:val="32"/>
          <w:szCs w:val="32"/>
        </w:rPr>
        <w:t>实施农产品加工业提升行动，立足粮食、果蔬、畜禽等特色农产品资源，延伸产业链、提升价值链。抓好重点骨干企业培育，支持银牛面业</w:t>
      </w:r>
      <w:r>
        <w:rPr>
          <w:rFonts w:hint="default" w:ascii="Times New Roman" w:hAnsi="Times New Roman" w:cs="Times New Roman"/>
          <w:spacing w:val="0"/>
          <w:kern w:val="21"/>
          <w:sz w:val="32"/>
          <w:szCs w:val="32"/>
          <w:lang w:eastAsia="zh-CN"/>
        </w:rPr>
        <w:t>、晟达菲尔</w:t>
      </w:r>
      <w:r>
        <w:rPr>
          <w:rFonts w:hint="default" w:ascii="Times New Roman" w:hAnsi="Times New Roman" w:eastAsia="仿宋_GB2312" w:cs="Times New Roman"/>
          <w:spacing w:val="0"/>
          <w:kern w:val="21"/>
          <w:sz w:val="32"/>
          <w:szCs w:val="32"/>
        </w:rPr>
        <w:t>等企业扩投资、上项目，打造一批现代农业产业化领军企业。聚力涉农企业梯次培育，持续开展技术改造、装备升级和模式创新，</w:t>
      </w:r>
      <w:r>
        <w:rPr>
          <w:rFonts w:hint="default" w:ascii="Times New Roman" w:hAnsi="Times New Roman" w:cs="Times New Roman"/>
          <w:spacing w:val="0"/>
          <w:kern w:val="21"/>
          <w:sz w:val="32"/>
          <w:szCs w:val="32"/>
          <w:lang w:eastAsia="zh-CN"/>
        </w:rPr>
        <w:t>加强</w:t>
      </w:r>
      <w:r>
        <w:rPr>
          <w:rFonts w:hint="default" w:ascii="Times New Roman" w:hAnsi="Times New Roman" w:eastAsia="仿宋_GB2312" w:cs="Times New Roman"/>
          <w:spacing w:val="0"/>
          <w:kern w:val="21"/>
          <w:sz w:val="32"/>
          <w:szCs w:val="32"/>
        </w:rPr>
        <w:t>与科研院所紧密合作，积极研发高附加值、高科技含量的产品。</w:t>
      </w:r>
      <w:r>
        <w:rPr>
          <w:rFonts w:hint="default" w:ascii="Times New Roman" w:hAnsi="Times New Roman" w:cs="Times New Roman"/>
          <w:spacing w:val="0"/>
          <w:kern w:val="21"/>
          <w:sz w:val="32"/>
          <w:szCs w:val="32"/>
          <w:highlight w:val="none"/>
          <w:lang w:val="en-US" w:eastAsia="zh-CN"/>
        </w:rPr>
        <w:t>到2030年，规模以上农产品加工企业达到</w:t>
      </w:r>
      <w:r>
        <w:rPr>
          <w:rFonts w:hint="eastAsia" w:ascii="Times New Roman" w:hAnsi="Times New Roman" w:cs="Times New Roman"/>
          <w:spacing w:val="0"/>
          <w:kern w:val="21"/>
          <w:sz w:val="32"/>
          <w:szCs w:val="32"/>
          <w:highlight w:val="none"/>
          <w:lang w:val="en-US" w:eastAsia="zh-CN"/>
        </w:rPr>
        <w:t>35</w:t>
      </w:r>
      <w:r>
        <w:rPr>
          <w:rFonts w:hint="default" w:ascii="Times New Roman" w:hAnsi="Times New Roman" w:cs="Times New Roman"/>
          <w:spacing w:val="0"/>
          <w:kern w:val="21"/>
          <w:sz w:val="32"/>
          <w:szCs w:val="32"/>
          <w:highlight w:val="none"/>
          <w:lang w:val="en-US" w:eastAsia="zh-CN"/>
        </w:rPr>
        <w:t>家，省级以上农业产业龙头企业达到6家以上、市级达到80家以上。</w:t>
      </w:r>
    </w:p>
    <w:p w14:paraId="2AC5FA2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kern w:val="21"/>
          <w:sz w:val="32"/>
          <w:szCs w:val="32"/>
          <w:lang w:val="en-US" w:eastAsia="zh-CN"/>
        </w:rPr>
      </w:pPr>
      <w:r>
        <w:rPr>
          <w:rFonts w:hint="eastAsia" w:ascii="楷体_GB2312" w:hAnsi="楷体_GB2312" w:eastAsia="楷体_GB2312" w:cs="楷体_GB2312"/>
          <w:spacing w:val="0"/>
          <w:kern w:val="21"/>
          <w:sz w:val="32"/>
          <w:szCs w:val="32"/>
          <w:lang w:val="en-US" w:eastAsia="zh-CN"/>
        </w:rPr>
        <w:t>推进农村产业融合发展。</w:t>
      </w:r>
      <w:r>
        <w:rPr>
          <w:rFonts w:hint="default" w:ascii="Times New Roman" w:hAnsi="Times New Roman" w:cs="Times New Roman"/>
          <w:spacing w:val="0"/>
          <w:kern w:val="21"/>
          <w:sz w:val="32"/>
          <w:szCs w:val="32"/>
          <w:lang w:val="en-US" w:eastAsia="zh-CN"/>
        </w:rPr>
        <w:t>立足农村资源禀赋，推动农业与文化、旅游、电商、康养等产业深度融合，激活乡村产业发展新动能。大力发展乡村文旅产业，依托传统村落、民俗文化、田园风光等资源，打造“农事体验游”“乡村康养游”“民俗文化游”等精品线路，建设一批乡村旅游示范点、休闲农业园区与民宿集群。发展壮大农村电商产业，完善农村电商服务体系，实现行政村电商服务站点全覆盖，培育农村电商带头人、直播达人，支持电商企业开展农产品上行、工业品下乡业务，推动触网销售。推进产业融合示范，建设农业产业强镇、现代农业产业园、田园综合体等融合载体，培育沙沟冠世园∙榴光溢彩乡村振兴片区等一批乡村产业融合项目。</w:t>
      </w:r>
    </w:p>
    <w:p w14:paraId="3488FC3E">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52" w:name="_Toc402680107"/>
      <w:r>
        <w:rPr>
          <w:rFonts w:hint="eastAsia" w:ascii="楷体_GB2312" w:hAnsi="楷体_GB2312" w:eastAsia="楷体_GB2312" w:cs="楷体_GB2312"/>
          <w:kern w:val="21"/>
          <w:sz w:val="32"/>
          <w:szCs w:val="32"/>
          <w:highlight w:val="none"/>
          <w:lang w:val="en-US" w:eastAsia="zh-CN"/>
        </w:rPr>
        <w:t>第二节  建设生态宜居美丽乡村</w:t>
      </w:r>
      <w:bookmarkEnd w:id="52"/>
    </w:p>
    <w:p w14:paraId="28A9E37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kern w:val="21"/>
          <w:sz w:val="32"/>
          <w:szCs w:val="32"/>
          <w:lang w:val="en-US" w:eastAsia="zh-CN"/>
        </w:rPr>
      </w:pPr>
      <w:r>
        <w:rPr>
          <w:rFonts w:hint="default" w:ascii="Times New Roman" w:hAnsi="Times New Roman" w:cs="Times New Roman"/>
          <w:spacing w:val="0"/>
          <w:kern w:val="21"/>
          <w:sz w:val="32"/>
          <w:szCs w:val="32"/>
          <w:lang w:val="en-US" w:eastAsia="zh-CN"/>
        </w:rPr>
        <w:t>统筹片区建设、环境整治与绿色发展，推动乡村向生态宜居跃升，打造人与自然和谐共生的乡村发展新格局。</w:t>
      </w:r>
    </w:p>
    <w:p w14:paraId="09060D3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kern w:val="21"/>
          <w:sz w:val="32"/>
          <w:szCs w:val="32"/>
          <w:lang w:val="en-US" w:eastAsia="zh-CN"/>
        </w:rPr>
      </w:pPr>
      <w:r>
        <w:rPr>
          <w:rFonts w:hint="eastAsia" w:ascii="楷体_GB2312" w:hAnsi="楷体_GB2312" w:eastAsia="楷体_GB2312" w:cs="楷体_GB2312"/>
          <w:spacing w:val="0"/>
          <w:kern w:val="21"/>
          <w:sz w:val="32"/>
          <w:szCs w:val="32"/>
          <w:lang w:val="en-US" w:eastAsia="zh-CN"/>
        </w:rPr>
        <w:t>强化乡村振兴片区统筹建设。</w:t>
      </w:r>
      <w:r>
        <w:rPr>
          <w:rFonts w:hint="default" w:ascii="Times New Roman" w:hAnsi="Times New Roman" w:cs="Times New Roman"/>
          <w:spacing w:val="0"/>
          <w:kern w:val="21"/>
          <w:sz w:val="32"/>
          <w:szCs w:val="32"/>
          <w:lang w:val="en-US" w:eastAsia="zh-CN"/>
        </w:rPr>
        <w:t>坚持规划引领、连片推进，科学编制片区规划，结合涉农镇街资源禀赋，合理划定片区范围，明确各片区主导产业与功能定位，避免同质化建设。深化党建联建赋能，以片区为单位建立党组织联盟，推动跨村资源整合、产业融合、人才聚合，引导片区内村庄抱团发展。到2030年，实现涉农镇街省市区级乡村振兴片区全域覆盖。</w:t>
      </w:r>
    </w:p>
    <w:p w14:paraId="40E07B8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kern w:val="21"/>
          <w:sz w:val="32"/>
          <w:szCs w:val="32"/>
          <w:lang w:val="en-US" w:eastAsia="zh-CN"/>
        </w:rPr>
      </w:pPr>
      <w:r>
        <w:rPr>
          <w:rFonts w:hint="eastAsia" w:ascii="楷体_GB2312" w:hAnsi="楷体_GB2312" w:eastAsia="楷体_GB2312" w:cs="楷体_GB2312"/>
          <w:spacing w:val="0"/>
          <w:kern w:val="21"/>
          <w:sz w:val="32"/>
          <w:szCs w:val="32"/>
          <w:lang w:val="en-US" w:eastAsia="zh-CN"/>
        </w:rPr>
        <w:t>加强农村基础设施建设。</w:t>
      </w:r>
      <w:r>
        <w:rPr>
          <w:rFonts w:hint="default" w:ascii="Times New Roman" w:hAnsi="Times New Roman" w:cs="Times New Roman"/>
          <w:spacing w:val="0"/>
          <w:kern w:val="21"/>
          <w:sz w:val="32"/>
          <w:szCs w:val="32"/>
          <w:lang w:val="en-US" w:eastAsia="zh-CN"/>
        </w:rPr>
        <w:t>完善片区基础设施，统筹推进片区内道路、供水、供电、通信等基础设施互联互通，同步配套村级服务中心、养老驿站、文化广场等公共服务设施，实现“一片区一中心、多村享服务”。实施好新一轮农村公路提升行动，推进城乡客运服务一体化。巩固提升农村供水保障能力，实施农村电网巩固提升工程，加强农村新能源汽车充换电基础设施建设，推进天然气基础设施向农村延伸。加快推进数字乡村和寄递物流网络节点建设，推动全区行政村基本具备千兆光纤网络接入能力，快递进村全覆盖。</w:t>
      </w:r>
    </w:p>
    <w:p w14:paraId="55DDBD3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kern w:val="21"/>
          <w:sz w:val="32"/>
          <w:szCs w:val="32"/>
          <w:lang w:val="en-US" w:eastAsia="zh-CN"/>
        </w:rPr>
      </w:pPr>
      <w:r>
        <w:rPr>
          <w:rFonts w:hint="eastAsia" w:ascii="楷体_GB2312" w:hAnsi="楷体_GB2312" w:eastAsia="楷体_GB2312" w:cs="楷体_GB2312"/>
          <w:spacing w:val="0"/>
          <w:kern w:val="21"/>
          <w:sz w:val="32"/>
          <w:szCs w:val="32"/>
          <w:lang w:val="en-US" w:eastAsia="zh-CN"/>
        </w:rPr>
        <w:t>持续改善农村人居环境。</w:t>
      </w:r>
      <w:r>
        <w:rPr>
          <w:rFonts w:hint="default" w:ascii="Times New Roman" w:hAnsi="Times New Roman" w:cs="Times New Roman"/>
          <w:spacing w:val="0"/>
          <w:kern w:val="21"/>
          <w:sz w:val="32"/>
          <w:szCs w:val="32"/>
          <w:lang w:val="en-US" w:eastAsia="zh-CN"/>
        </w:rPr>
        <w:t>学习运用“千万工程”经验，着力改善农村人居环境，提高居住便利度、舒适度。提升村容村貌品质，开展村庄绿化美化行动，推进植树与庭院绿化，培育“美丽庭院”示范户。巩固农村厕所革命成果，健全厕所后续管护机制。推进农村生活污水治理巩固提升，健全污水资源化利用模式。实施生活垃圾源头分类减量，减少垃圾终端处理压力。推动农业废弃物资源化利用，建设秸秆综合利用示范点，配套畜禽粪污集中处理设施，实现粪污资源化利用率达90%以上。到2030年，全区美丽庭院建成率巩固在30%以上。</w:t>
      </w:r>
    </w:p>
    <w:p w14:paraId="35632705">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53" w:name="_Toc517567155"/>
      <w:r>
        <w:rPr>
          <w:rFonts w:hint="eastAsia" w:ascii="楷体_GB2312" w:hAnsi="楷体_GB2312" w:eastAsia="楷体_GB2312" w:cs="楷体_GB2312"/>
          <w:kern w:val="21"/>
          <w:sz w:val="32"/>
          <w:szCs w:val="32"/>
          <w:highlight w:val="none"/>
          <w:lang w:val="en-US" w:eastAsia="zh-CN"/>
        </w:rPr>
        <w:t>第三节  完善强农惠农富农政策</w:t>
      </w:r>
      <w:bookmarkEnd w:id="53"/>
    </w:p>
    <w:p w14:paraId="7BB5B5A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b w:val="0"/>
          <w:bCs w:val="0"/>
          <w:spacing w:val="0"/>
          <w:lang w:val="en-US" w:eastAsia="zh-CN"/>
        </w:rPr>
      </w:pPr>
      <w:r>
        <w:rPr>
          <w:rFonts w:hint="default" w:ascii="Times New Roman" w:hAnsi="Times New Roman" w:cs="Times New Roman"/>
          <w:b w:val="0"/>
          <w:bCs w:val="0"/>
          <w:spacing w:val="0"/>
          <w:lang w:val="en-US" w:eastAsia="zh-CN"/>
        </w:rPr>
        <w:t>聚焦农民增收、农业增效、农村繁荣目标，构建多层次、精准化、可持续的强农惠农富农政策体系，持续激活农村发展内生动力。</w:t>
      </w:r>
    </w:p>
    <w:p w14:paraId="1D8E4C5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lang w:val="en-US" w:eastAsia="zh-CN"/>
        </w:rPr>
      </w:pPr>
      <w:r>
        <w:rPr>
          <w:rFonts w:hint="eastAsia" w:ascii="楷体_GB2312" w:hAnsi="楷体_GB2312" w:eastAsia="楷体_GB2312" w:cs="楷体_GB2312"/>
          <w:b w:val="0"/>
          <w:bCs w:val="0"/>
          <w:spacing w:val="0"/>
          <w:lang w:val="en-US" w:eastAsia="zh-CN"/>
        </w:rPr>
        <w:t>健全多元投入保障机制。</w:t>
      </w:r>
      <w:r>
        <w:rPr>
          <w:rFonts w:hint="default" w:ascii="Times New Roman" w:hAnsi="Times New Roman" w:cs="Times New Roman"/>
          <w:spacing w:val="0"/>
          <w:lang w:val="en-US" w:eastAsia="zh-CN"/>
        </w:rPr>
        <w:t>持续加大乡村振兴投入力度，重点向产业培育、基础设施、公共服务等领域倾斜。深化金融精准赋能，扩大涉农信贷投放，推广“乡村振兴贷”“农担贷”等特色产品，开发农村产权抵押、订单融资等创新产品，探索“农业保险+期货模式”，完善农业信贷担保体系，降低农业经营主体融资成本。引导社会资本参与，鼓励民间资本参与乡村产业发展、基础设施建设、公共服务供给，落实税费减免、用地保障等激励政策。</w:t>
      </w:r>
    </w:p>
    <w:p w14:paraId="017C0B6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lang w:val="en-US" w:eastAsia="zh-CN"/>
        </w:rPr>
      </w:pPr>
      <w:r>
        <w:rPr>
          <w:rFonts w:hint="eastAsia" w:ascii="楷体_GB2312" w:hAnsi="楷体_GB2312" w:eastAsia="楷体_GB2312" w:cs="楷体_GB2312"/>
          <w:b w:val="0"/>
          <w:bCs w:val="0"/>
          <w:spacing w:val="0"/>
          <w:lang w:val="en-US" w:eastAsia="zh-CN"/>
        </w:rPr>
        <w:t>强化城乡要素双向流动。</w:t>
      </w:r>
      <w:r>
        <w:rPr>
          <w:rFonts w:hint="default" w:ascii="Times New Roman" w:hAnsi="Times New Roman" w:cs="Times New Roman"/>
          <w:b w:val="0"/>
          <w:bCs w:val="0"/>
          <w:spacing w:val="0"/>
          <w:lang w:val="en-US" w:eastAsia="zh-CN"/>
        </w:rPr>
        <w:t>深化农村集体产权制度改革，推进国家和省级农村改革试验区建设，有效探索农业农村创新发展路径，提升试验区运行质量。加强农村集体“三资”监督管理，规范农村产权流转交易。</w:t>
      </w:r>
      <w:r>
        <w:rPr>
          <w:rFonts w:hint="default" w:ascii="Times New Roman" w:hAnsi="Times New Roman" w:cs="Times New Roman"/>
          <w:spacing w:val="0"/>
          <w:highlight w:val="none"/>
          <w:lang w:val="en-US" w:eastAsia="zh-CN"/>
        </w:rPr>
        <w:t>稳妥推进第二轮土地承包到期后再延长30年试点，</w:t>
      </w:r>
      <w:r>
        <w:rPr>
          <w:rFonts w:hint="default" w:ascii="Times New Roman" w:hAnsi="Times New Roman" w:cs="Times New Roman"/>
          <w:spacing w:val="0"/>
          <w:lang w:val="en-US" w:eastAsia="zh-CN"/>
        </w:rPr>
        <w:t>保持农村土地承包关系，稳定并长久不变。规范土地流转管理服务，规范宅基地所有权、资格权、使用权分置改革，盘活闲置宅基地，用于发展乡村旅游、民宿经济、农产品初加工等乡村产业。规范集体经济组织运行管理，因地制宜发展新型农村集体经济。激活人才智力支撑，吸引高校毕业生、退役军人、返乡能人扎根乡村，配套创业补贴、住房保障等支持政策。推动科技下沉赋能，支持与高校院所共建乡村产业技术研发中心，聚焦特色种养、农产品加工等领域开展技术攻关。</w:t>
      </w:r>
    </w:p>
    <w:p w14:paraId="44265DC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0"/>
          <w:lang w:val="en-US" w:eastAsia="zh-CN"/>
        </w:rPr>
      </w:pPr>
      <w:r>
        <w:rPr>
          <w:rFonts w:hint="eastAsia" w:ascii="楷体_GB2312" w:hAnsi="楷体_GB2312" w:eastAsia="楷体_GB2312" w:cs="楷体_GB2312"/>
          <w:b w:val="0"/>
          <w:bCs w:val="0"/>
          <w:spacing w:val="0"/>
          <w:lang w:val="en-US" w:eastAsia="zh-CN"/>
        </w:rPr>
        <w:t>完善联农带农利益联结机制。</w:t>
      </w:r>
      <w:r>
        <w:rPr>
          <w:rFonts w:hint="default" w:ascii="Times New Roman" w:hAnsi="Times New Roman" w:cs="Times New Roman"/>
          <w:spacing w:val="0"/>
          <w:lang w:val="en-US" w:eastAsia="zh-CN"/>
        </w:rPr>
        <w:t>提升农民增收实效，健全粮食生产补贴政策，落实农业补贴与农资价格联动机制，保障种粮农民收益。支持农民通过土地流转、务工就业、入股分红等方式多元增收，强化农村低收入群体动态监测与精准帮扶。壮大农村集体经济，支持村集体通过盘活闲置资源、发展服务型产业、参与项目合作等方式增加经营性收入，完善集体经济收益分配机制，确保农民共享发展成果。</w:t>
      </w:r>
    </w:p>
    <w:p w14:paraId="1649D69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default" w:ascii="Times New Roman" w:hAnsi="Times New Roman" w:cs="Times New Roman"/>
          <w:spacing w:val="-6"/>
          <w:sz w:val="32"/>
          <w:lang w:val="en-US" w:eastAsia="zh-CN"/>
        </w:rPr>
      </w:pPr>
      <w:r>
        <w:rPr>
          <w:rFonts w:hint="eastAsia" w:ascii="楷体_GB2312" w:hAnsi="楷体_GB2312" w:eastAsia="楷体_GB2312" w:cs="楷体_GB2312"/>
          <w:b w:val="0"/>
          <w:bCs w:val="0"/>
          <w:spacing w:val="0"/>
          <w:lang w:val="en-US" w:eastAsia="zh-CN"/>
        </w:rPr>
        <w:t>持续巩固拓展脱贫攻坚成果。</w:t>
      </w:r>
      <w:r>
        <w:rPr>
          <w:rFonts w:hint="default" w:ascii="Times New Roman" w:hAnsi="Times New Roman" w:cs="Times New Roman"/>
          <w:spacing w:val="0"/>
          <w:lang w:val="en-US" w:eastAsia="zh-CN"/>
        </w:rPr>
        <w:t>守住不发生规模性返贫底线，构建精准监测、分类帮扶、能力提升、机制健全的常态化体系。整合民政、医保等部门数据，用好防返贫监测大数据平台，结合镇村干部、网格员常态化排查，实现风险早发现、早干预。针对脱贫不稳定户、边缘易致贫户等群体，分类落实产业扶持、就业帮扶、兜底保障等措施，通过公益性岗位安置、临时救助、技能培训等精准施策。强化扶志扶智，选树致富典型，开展技能培训，提升自我发展能力。健全资金保障、部门协同、社会</w:t>
      </w:r>
      <w:r>
        <w:rPr>
          <w:rFonts w:hint="default" w:ascii="Times New Roman" w:hAnsi="Times New Roman" w:cs="Times New Roman"/>
          <w:spacing w:val="-6"/>
          <w:sz w:val="32"/>
          <w:lang w:val="en-US" w:eastAsia="zh-CN"/>
        </w:rPr>
        <w:t>参与机制，凝聚“政府主导、社会参与、群众主体”的防返贫合力。</w:t>
      </w:r>
    </w:p>
    <w:p w14:paraId="7A097233">
      <w:pPr>
        <w:pStyle w:val="18"/>
        <w:rPr>
          <w:rFonts w:hint="default"/>
          <w:lang w:val="en-US" w:eastAsia="zh-CN"/>
        </w:rPr>
      </w:pPr>
    </w:p>
    <w:tbl>
      <w:tblPr>
        <w:tblStyle w:val="1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7"/>
      </w:tblGrid>
      <w:tr w14:paraId="76D3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497" w:type="dxa"/>
            <w:noWrap w:val="0"/>
            <w:vAlign w:val="center"/>
          </w:tcPr>
          <w:p w14:paraId="16E197B9">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00" w:lineRule="exact"/>
              <w:ind w:left="0" w:right="0" w:firstLine="0" w:firstLineChars="0"/>
              <w:jc w:val="center"/>
              <w:textAlignment w:val="auto"/>
              <w:rPr>
                <w:rFonts w:hint="default" w:ascii="Times New Roman" w:hAnsi="Times New Roman" w:eastAsia="黑体" w:cs="Times New Roman"/>
                <w:b w:val="0"/>
                <w:bCs w:val="0"/>
                <w:spacing w:val="0"/>
                <w:kern w:val="21"/>
                <w:sz w:val="28"/>
                <w:szCs w:val="28"/>
              </w:rPr>
            </w:pPr>
            <w:r>
              <w:rPr>
                <w:rFonts w:hint="default" w:ascii="Times New Roman" w:hAnsi="Times New Roman" w:eastAsia="黑体" w:cs="Times New Roman"/>
                <w:b w:val="0"/>
                <w:bCs w:val="0"/>
                <w:spacing w:val="0"/>
                <w:kern w:val="21"/>
                <w:sz w:val="28"/>
                <w:szCs w:val="28"/>
                <w:highlight w:val="none"/>
              </w:rPr>
              <w:t>专栏</w:t>
            </w:r>
            <w:r>
              <w:rPr>
                <w:rFonts w:hint="default" w:ascii="Times New Roman" w:hAnsi="Times New Roman" w:eastAsia="黑体" w:cs="Times New Roman"/>
                <w:b w:val="0"/>
                <w:bCs w:val="0"/>
                <w:spacing w:val="0"/>
                <w:kern w:val="21"/>
                <w:sz w:val="28"/>
                <w:szCs w:val="28"/>
                <w:highlight w:val="none"/>
                <w:lang w:val="en-US" w:eastAsia="zh-CN"/>
              </w:rPr>
              <w:t>5</w:t>
            </w:r>
            <w:r>
              <w:rPr>
                <w:rFonts w:hint="default" w:ascii="Times New Roman" w:hAnsi="Times New Roman" w:eastAsia="黑体" w:cs="Times New Roman"/>
                <w:b w:val="0"/>
                <w:bCs w:val="0"/>
                <w:spacing w:val="0"/>
                <w:kern w:val="21"/>
                <w:sz w:val="28"/>
                <w:szCs w:val="28"/>
              </w:rPr>
              <w:t>：</w:t>
            </w:r>
            <w:r>
              <w:rPr>
                <w:rFonts w:hint="default" w:ascii="Times New Roman" w:hAnsi="Times New Roman" w:eastAsia="黑体" w:cs="Times New Roman"/>
                <w:b w:val="0"/>
                <w:bCs w:val="0"/>
                <w:spacing w:val="0"/>
                <w:kern w:val="21"/>
                <w:sz w:val="28"/>
                <w:szCs w:val="28"/>
                <w:lang w:val="en-US" w:eastAsia="zh-CN"/>
              </w:rPr>
              <w:t>农业高质量发展</w:t>
            </w:r>
            <w:r>
              <w:rPr>
                <w:rFonts w:hint="default" w:ascii="Times New Roman" w:hAnsi="Times New Roman" w:eastAsia="黑体" w:cs="Times New Roman"/>
                <w:b w:val="0"/>
                <w:bCs w:val="0"/>
                <w:spacing w:val="0"/>
                <w:kern w:val="21"/>
                <w:sz w:val="28"/>
                <w:szCs w:val="28"/>
              </w:rPr>
              <w:t>重点项目</w:t>
            </w:r>
          </w:p>
        </w:tc>
      </w:tr>
      <w:tr w14:paraId="2E6D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97" w:type="dxa"/>
            <w:noWrap w:val="0"/>
            <w:vAlign w:val="center"/>
          </w:tcPr>
          <w:p w14:paraId="46D06CEB">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1.薛城区地方储备粮库扩建项目</w:t>
            </w:r>
          </w:p>
          <w:p w14:paraId="1B37D603">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2.枣庄农产品冷链物流产业园项目二期</w:t>
            </w:r>
          </w:p>
          <w:p w14:paraId="78F93F93">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3.秀地有为食品供应链项目</w:t>
            </w:r>
          </w:p>
          <w:p w14:paraId="430E15BA">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4.汇航农产品冷链物流产业园项目</w:t>
            </w:r>
          </w:p>
          <w:p w14:paraId="670E2C94">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5.仁旭农产品精细加工项目</w:t>
            </w:r>
          </w:p>
          <w:p w14:paraId="66D88CB0">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6.吉泰药食同源大健康饮品产业化项目</w:t>
            </w:r>
          </w:p>
          <w:p w14:paraId="6DB6460B">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7.裕丰生态酒庄循环产业一体化项目</w:t>
            </w:r>
          </w:p>
          <w:p w14:paraId="475BB82B">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8.国新粮食绿色储备改造提升项目</w:t>
            </w:r>
          </w:p>
          <w:p w14:paraId="480E3C61">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lang w:val="en-US" w:eastAsia="zh-CN"/>
              </w:rPr>
            </w:pPr>
            <w:r>
              <w:rPr>
                <w:rFonts w:hint="default" w:ascii="Times New Roman" w:hAnsi="Times New Roman" w:cs="Times New Roman"/>
                <w:b w:val="0"/>
                <w:bCs w:val="0"/>
                <w:spacing w:val="0"/>
                <w:kern w:val="21"/>
                <w:sz w:val="28"/>
                <w:szCs w:val="28"/>
                <w:lang w:val="en-US" w:eastAsia="zh-CN"/>
              </w:rPr>
              <w:t>9.龙之杰生猪屠宰及肉类加工基地建设项目</w:t>
            </w:r>
          </w:p>
        </w:tc>
      </w:tr>
    </w:tbl>
    <w:p w14:paraId="518D29DE">
      <w:pPr>
        <w:keepNext w:val="0"/>
        <w:keepLines w:val="0"/>
        <w:pageBreakBefore w:val="0"/>
        <w:widowControl w:val="0"/>
        <w:kinsoku/>
        <w:wordWrap/>
        <w:overflowPunct/>
        <w:topLinePunct w:val="0"/>
        <w:autoSpaceDE/>
        <w:autoSpaceDN/>
        <w:bidi w:val="0"/>
        <w:adjustRightInd w:val="0"/>
        <w:snapToGrid w:val="0"/>
        <w:spacing w:before="313" w:beforeLines="100" w:beforeAutospacing="0" w:after="313" w:afterLines="100" w:afterAutospacing="0" w:line="580" w:lineRule="exact"/>
        <w:ind w:firstLine="0" w:firstLineChars="0"/>
        <w:jc w:val="center"/>
        <w:textAlignment w:val="auto"/>
        <w:outlineLvl w:val="0"/>
        <w:rPr>
          <w:rFonts w:hint="eastAsia" w:ascii="黑体" w:hAnsi="黑体" w:eastAsia="黑体" w:cs="黑体"/>
          <w:b w:val="0"/>
          <w:bCs/>
          <w:spacing w:val="0"/>
          <w:kern w:val="21"/>
          <w:sz w:val="32"/>
          <w:szCs w:val="32"/>
          <w:lang w:val="en-US" w:eastAsia="zh-CN"/>
        </w:rPr>
      </w:pPr>
      <w:bookmarkStart w:id="54" w:name="_Toc1173094454"/>
      <w:r>
        <w:rPr>
          <w:rFonts w:hint="eastAsia" w:ascii="黑体" w:hAnsi="黑体" w:eastAsia="黑体" w:cs="黑体"/>
          <w:b w:val="0"/>
          <w:bCs/>
          <w:spacing w:val="0"/>
          <w:kern w:val="21"/>
          <w:sz w:val="32"/>
          <w:szCs w:val="32"/>
          <w:lang w:val="en-US" w:eastAsia="zh-CN"/>
        </w:rPr>
        <w:t>第九章  全面推进绿色低碳转型，加快建设美丽薛城</w:t>
      </w:r>
      <w:bookmarkEnd w:id="54"/>
    </w:p>
    <w:p w14:paraId="07644950">
      <w:pPr>
        <w:keepNext w:val="0"/>
        <w:keepLines w:val="0"/>
        <w:pageBreakBefore w:val="0"/>
        <w:widowControl w:val="0"/>
        <w:kinsoku/>
        <w:wordWrap/>
        <w:overflowPunct/>
        <w:topLinePunct w:val="0"/>
        <w:autoSpaceDE/>
        <w:autoSpaceDN/>
        <w:bidi w:val="0"/>
        <w:adjustRightInd w:val="0"/>
        <w:snapToGrid w:val="0"/>
        <w:spacing w:before="313" w:beforeLines="100"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
        </w:rPr>
        <w:t>牢固树立和践行绿水青山就是金山银山的理念，以“双碳”目标为引领，统筹推进产业绿色转型、能源结构优化、生活方式绿色变革、污染防治攻坚与生态保护修复，增强绿色发展动能，促进经济社会发展全面绿色转型。</w:t>
      </w:r>
    </w:p>
    <w:p w14:paraId="4AEDCDA3">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55" w:name="_Toc9987"/>
      <w:bookmarkStart w:id="56" w:name="_Toc132529373"/>
      <w:r>
        <w:rPr>
          <w:rFonts w:hint="eastAsia" w:ascii="楷体_GB2312" w:hAnsi="楷体_GB2312" w:eastAsia="楷体_GB2312" w:cs="楷体_GB2312"/>
          <w:kern w:val="21"/>
          <w:sz w:val="32"/>
          <w:szCs w:val="32"/>
          <w:highlight w:val="none"/>
          <w:lang w:val="en-US" w:eastAsia="zh-CN"/>
        </w:rPr>
        <w:t>第一节  稳妥推进和实现碳达峰</w:t>
      </w:r>
      <w:bookmarkEnd w:id="55"/>
      <w:bookmarkEnd w:id="56"/>
    </w:p>
    <w:p w14:paraId="1C454BA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cs="Times New Roman"/>
          <w:bCs/>
          <w:spacing w:val="0"/>
          <w:sz w:val="32"/>
          <w:szCs w:val="32"/>
          <w:lang w:val="en-US" w:eastAsia="zh-CN"/>
        </w:rPr>
        <w:t>坚持先立后破、稳妥有序原则，全面落实碳排放总量和强度双控制度，协同推进减污降碳扩绿增长，确保如期实现碳达峰目标。</w:t>
      </w:r>
    </w:p>
    <w:p w14:paraId="53A58D1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加快建设新型能源体系。</w:t>
      </w:r>
      <w:r>
        <w:rPr>
          <w:rFonts w:hint="default" w:ascii="Times New Roman" w:hAnsi="Times New Roman" w:cs="Times New Roman"/>
          <w:bCs/>
          <w:spacing w:val="0"/>
          <w:sz w:val="32"/>
          <w:szCs w:val="32"/>
          <w:lang w:val="en-US" w:eastAsia="zh-CN"/>
        </w:rPr>
        <w:t>加快提高新能源供给和消纳水平，有序推动枣庄港航新能源、薛城</w:t>
      </w:r>
      <w:r>
        <w:rPr>
          <w:rFonts w:hint="eastAsia" w:ascii="Times New Roman" w:hAnsi="Times New Roman" w:cs="Times New Roman"/>
          <w:bCs/>
          <w:spacing w:val="0"/>
          <w:sz w:val="32"/>
          <w:szCs w:val="32"/>
          <w:lang w:val="en-US" w:eastAsia="zh-CN"/>
        </w:rPr>
        <w:t>经济开发区</w:t>
      </w:r>
      <w:r>
        <w:rPr>
          <w:rFonts w:hint="default" w:ascii="Times New Roman" w:hAnsi="Times New Roman" w:cs="Times New Roman"/>
          <w:bCs/>
          <w:spacing w:val="0"/>
          <w:sz w:val="32"/>
          <w:szCs w:val="32"/>
          <w:lang w:val="en-US" w:eastAsia="zh-CN"/>
        </w:rPr>
        <w:t>源网荷储、电网侧独立储能电站项目建设。有序推进绿电直连发展，探索微电网、虚拟电厂等供需协同发展新模式。深化能源体制机制改革，推动新能源全面参与电力市场，大力发展绿电交易，建立健全绿证、绿电、碳市场协同机制，提高用能大企业绿电消纳比例。</w:t>
      </w:r>
      <w:r>
        <w:rPr>
          <w:rFonts w:hint="default" w:ascii="Times New Roman" w:hAnsi="Times New Roman" w:cs="Times New Roman"/>
          <w:bCs/>
          <w:spacing w:val="-6"/>
          <w:sz w:val="32"/>
          <w:szCs w:val="32"/>
          <w:lang w:val="en-US" w:eastAsia="zh-CN"/>
        </w:rPr>
        <w:t>适度超前谋划推进变电站建设，强化配电网综合承载能力，加快建设坚强智能电网，全面提升电力系统互补互济和安全韧性水平。</w:t>
      </w:r>
    </w:p>
    <w:p w14:paraId="58694B3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推动重点领域节能降碳。</w:t>
      </w:r>
      <w:r>
        <w:rPr>
          <w:rFonts w:hint="default" w:ascii="Times New Roman" w:hAnsi="Times New Roman" w:cs="Times New Roman"/>
          <w:bCs/>
          <w:spacing w:val="0"/>
          <w:sz w:val="32"/>
          <w:szCs w:val="32"/>
          <w:lang w:val="en-US" w:eastAsia="zh-CN"/>
        </w:rPr>
        <w:t>实施煤电清洁高效改造，推广工业余热余压回收利用，严控化石能源消费总量。工业领域，聚焦化工、焦化、建材、造纸等重点行业，推进薛城化工产业园、经济开发区循环化改造，支持企业开展节能降碳技术改造，推广绿色工艺与智能装备，降低单位产值能耗，创建零碳园区、绿色工厂。交通运输领域，扩大新能源汽车在公交、物流、公务用车等领域应用，完善充电桩、加氢站等配套设施。发展“公铁水”多式联运，降低公路运输占比，减少交通运输碳排放。</w:t>
      </w:r>
    </w:p>
    <w:p w14:paraId="715C91C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落实碳排放双控体制机制。</w:t>
      </w:r>
      <w:r>
        <w:rPr>
          <w:rFonts w:hint="default" w:ascii="Times New Roman" w:hAnsi="Times New Roman" w:cs="Times New Roman"/>
          <w:bCs/>
          <w:spacing w:val="0"/>
          <w:sz w:val="32"/>
          <w:szCs w:val="32"/>
          <w:lang w:val="en-US" w:eastAsia="zh-CN"/>
        </w:rPr>
        <w:t>实施碳排放总量和强度双控制度，落实行业碳管控、企业碳管理、项目碳评价、产品碳足迹等政策。夯实能源消费核算数据质量，做好碳排放统计核算体系建设和碳排放核算试算工作。在项目环境影响评价、节能审查中落实碳排放评价制度，严控高耗能、高排放项目盲目上马，从源头遏制碳排放增量。建立完善覆盖产品全生命周期的碳足迹管理体系，推广重点产品碳标识认证，提升生态系统碳汇增量。深化市场化机制建设，对接全省碳排放权交易市场，推动重点企业纳入交易体系。</w:t>
      </w:r>
    </w:p>
    <w:p w14:paraId="0DF1554E">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57" w:name="_Toc8034"/>
      <w:bookmarkStart w:id="58" w:name="_Toc1096116875"/>
      <w:r>
        <w:rPr>
          <w:rFonts w:hint="eastAsia" w:ascii="楷体_GB2312" w:hAnsi="楷体_GB2312" w:eastAsia="楷体_GB2312" w:cs="楷体_GB2312"/>
          <w:kern w:val="21"/>
          <w:sz w:val="32"/>
          <w:szCs w:val="32"/>
          <w:highlight w:val="none"/>
          <w:lang w:val="en-US" w:eastAsia="zh-CN"/>
        </w:rPr>
        <w:t>第二节  倡导绿色低碳生活方式</w:t>
      </w:r>
      <w:bookmarkEnd w:id="57"/>
      <w:bookmarkEnd w:id="58"/>
    </w:p>
    <w:p w14:paraId="3C4DC76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cs="Times New Roman"/>
          <w:bCs/>
          <w:spacing w:val="0"/>
          <w:sz w:val="32"/>
          <w:szCs w:val="32"/>
          <w:lang w:val="en-US" w:eastAsia="zh-CN"/>
        </w:rPr>
        <w:t>从消费、出行、居住等民生场景切入，推动绿色理念深度</w:t>
      </w:r>
      <w:r>
        <w:rPr>
          <w:rFonts w:hint="default" w:ascii="Times New Roman" w:hAnsi="Times New Roman" w:cs="Times New Roman"/>
          <w:bCs/>
          <w:spacing w:val="6"/>
          <w:sz w:val="32"/>
          <w:szCs w:val="32"/>
          <w:lang w:val="en-US" w:eastAsia="zh-CN"/>
        </w:rPr>
        <w:t>融入日常生活，培育“人人践行低碳、处处体现绿色”的社会风尚。</w:t>
      </w:r>
    </w:p>
    <w:p w14:paraId="38CC2AF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引导绿色消费行为。</w:t>
      </w:r>
      <w:r>
        <w:rPr>
          <w:rFonts w:hint="default" w:ascii="Times New Roman" w:hAnsi="Times New Roman" w:cs="Times New Roman"/>
          <w:bCs/>
          <w:spacing w:val="0"/>
          <w:sz w:val="32"/>
          <w:szCs w:val="32"/>
          <w:lang w:val="en-US" w:eastAsia="zh-CN"/>
        </w:rPr>
        <w:t>聚焦消费领域减碳，推动形成绿色低碳消费习惯。落实绿色消费补贴政策，鼓励购买新能源汽车、一级能效家电，降低绿色消费成本。开展“绿色消费宣传月”活动，倡导减少一次性塑料袋、餐具使用，在餐饮企业推广“光盘行动”，杜绝餐饮浪费。</w:t>
      </w:r>
    </w:p>
    <w:p w14:paraId="29431AD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推动绿色出行普及。</w:t>
      </w:r>
      <w:r>
        <w:rPr>
          <w:rFonts w:hint="default" w:ascii="Times New Roman" w:hAnsi="Times New Roman" w:cs="Times New Roman"/>
          <w:bCs/>
          <w:spacing w:val="0"/>
          <w:sz w:val="32"/>
          <w:szCs w:val="32"/>
          <w:lang w:val="en-US" w:eastAsia="zh-CN"/>
        </w:rPr>
        <w:t>优化出行结构，构建便捷绿色交通体系。建设“步行+骑行”休闲绿道，串联口袋公园、社区服务中心，方便居民短途绿色出行。加快新能源交通工具推广，在社区停车场、商圈地下车库、公交场站增设充电桩，支持新建小区预留充电桩安装条件。在城区合理投放共享单车、共享电动车，丰富绿色出行选择。</w:t>
      </w:r>
    </w:p>
    <w:p w14:paraId="3F70D8F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推进居住环境绿色化。</w:t>
      </w:r>
      <w:r>
        <w:rPr>
          <w:rFonts w:hint="default" w:ascii="Times New Roman" w:hAnsi="Times New Roman" w:cs="Times New Roman"/>
          <w:bCs/>
          <w:spacing w:val="0"/>
          <w:sz w:val="32"/>
          <w:szCs w:val="32"/>
          <w:lang w:val="en-US" w:eastAsia="zh-CN"/>
        </w:rPr>
        <w:t>实施老旧小区绿色化改造，重点开展外墙保温、节能门窗更换，推广分户式节能供暖、制冷系统，降低居住能耗。新建建筑严格执行绿色建筑标准，优先采用装配式施工、超低能耗技术，配套建设屋顶绿化、雨水回收系统。打造“绿色社区”样板，在社区内建设口袋公园、屋顶花园，增加绿化覆盖面积。定期开展垃圾分类指导、节水节电宣传，推动社区公共区域使用节能照明、太阳能路灯。</w:t>
      </w:r>
    </w:p>
    <w:p w14:paraId="2A73EE6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强化全民低碳意识。</w:t>
      </w:r>
      <w:r>
        <w:rPr>
          <w:rFonts w:hint="default" w:ascii="Times New Roman" w:hAnsi="Times New Roman" w:cs="Times New Roman"/>
          <w:bCs/>
          <w:spacing w:val="0"/>
          <w:sz w:val="32"/>
          <w:szCs w:val="32"/>
          <w:lang w:val="en-US" w:eastAsia="zh-CN"/>
        </w:rPr>
        <w:t>突出多元主体联动，营造全社会参与氛围。组织“生态研学”活动，带领学生走进蟠龙河湿地公园、农业示范基地，直观感受绿色发展成果。发挥机关单位示范作用，推行无纸化办公，减少纸质文件使用。支持环保组织、志愿者开展公益活动，营造良好氛围。</w:t>
      </w:r>
    </w:p>
    <w:p w14:paraId="14E24EF9">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59" w:name="_Toc30442"/>
      <w:bookmarkStart w:id="60" w:name="_Toc505750982"/>
      <w:r>
        <w:rPr>
          <w:rFonts w:hint="eastAsia" w:ascii="楷体_GB2312" w:hAnsi="楷体_GB2312" w:eastAsia="楷体_GB2312" w:cs="楷体_GB2312"/>
          <w:kern w:val="21"/>
          <w:sz w:val="32"/>
          <w:szCs w:val="32"/>
          <w:highlight w:val="none"/>
          <w:lang w:val="en-US" w:eastAsia="zh-CN"/>
        </w:rPr>
        <w:t>第三节  深入打好污染防治攻坚战</w:t>
      </w:r>
      <w:bookmarkEnd w:id="59"/>
      <w:bookmarkEnd w:id="60"/>
    </w:p>
    <w:p w14:paraId="3A6C64B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cs="Times New Roman"/>
          <w:bCs/>
          <w:spacing w:val="0"/>
          <w:sz w:val="32"/>
          <w:szCs w:val="32"/>
          <w:lang w:val="en-US" w:eastAsia="zh-CN"/>
        </w:rPr>
        <w:t>全面落实精准、科学、依法治污，更加注重源头治理，坚决打好蓝天、碧水、净土保卫战。</w:t>
      </w:r>
    </w:p>
    <w:p w14:paraId="5469EA0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加强大气污染防治。</w:t>
      </w:r>
      <w:r>
        <w:rPr>
          <w:rFonts w:hint="default" w:ascii="Times New Roman" w:hAnsi="Times New Roman" w:cs="Times New Roman"/>
          <w:bCs/>
          <w:spacing w:val="0"/>
          <w:sz w:val="32"/>
          <w:szCs w:val="32"/>
          <w:lang w:val="en-US" w:eastAsia="zh-CN"/>
        </w:rPr>
        <w:t>支持企业聚焦绿色技改方向实施技改项目，推广应用新技术、新设备、新模式。强化工业废气管控，对薛城化工产业园、经济开发区内企业实行废气排放限值管理，督促企业按照管理要求安装在线监测设备并与区级监管平台联网，确保实时达标排放。重点推动化工企业开展挥发性有机物治理，推广密闭生产、废气回收净化技术，对治理成效显著的企业给予政策支持。严格扬尘污染治理，在建筑工地等重点区域安装扬尘在线监测设备并联网监管。增加城区主次干道洒水降尘频次，推广新能源清扫车，对渣土车实行密闭运输，严厉查处抛洒滴漏行为。</w:t>
      </w:r>
    </w:p>
    <w:p w14:paraId="421A108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加强水污染防治。</w:t>
      </w:r>
      <w:r>
        <w:rPr>
          <w:rFonts w:hint="default" w:ascii="Times New Roman" w:hAnsi="Times New Roman" w:cs="Times New Roman"/>
          <w:bCs/>
          <w:spacing w:val="0"/>
          <w:sz w:val="32"/>
          <w:szCs w:val="32"/>
          <w:lang w:val="en-US" w:eastAsia="zh-CN"/>
        </w:rPr>
        <w:t>深化流域综合治理，加强流域生态监管，通过开展清淤疏浚、截污纳管、河岸绿化等方式提升水体自净能力，确保流域水质稳定达标。保障饮用水安全，依法清理水源地保护区内违法建筑与排污口。完善水源地监测预警体系，对水质实行常态化监测，建立应急响应机制。推进城乡供水一体化建设，优化供水管网布局，降低管网漏损率，确保居民饮用水安全达标。规范废水处置，保障污水集中收集，达标排放。新建再生水利用、新城污水处理厂提升等项目，提升污水处理能力，推动尾水再生利用于园林绿化、工业冷却，提高水资源循环利用率。</w:t>
      </w:r>
    </w:p>
    <w:p w14:paraId="493CC5B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加强土壤污染防治。</w:t>
      </w:r>
      <w:r>
        <w:rPr>
          <w:rFonts w:hint="default" w:ascii="Times New Roman" w:hAnsi="Times New Roman" w:cs="Times New Roman"/>
          <w:bCs/>
          <w:spacing w:val="0"/>
          <w:sz w:val="32"/>
          <w:szCs w:val="32"/>
          <w:lang w:val="en-US" w:eastAsia="zh-CN"/>
        </w:rPr>
        <w:t>动态开展土壤污染调查工作，建立污染地块清单与风险管控档案，加快推进潍焦老厂区土壤污染修复治理。防控农业面源污染，推广测土配方施肥技术，减少化肥使用量；禁止使用高毒高残留农药，推广生物农药、物理防治等绿色防控手段；加强农田灌溉水管理，严禁使用未经处理的污水灌溉，防止土壤污染。保护地下水环境，划定地下水禁采区、限采区，严格管控地下水开采。</w:t>
      </w:r>
    </w:p>
    <w:p w14:paraId="0221582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规范固废</w:t>
      </w:r>
      <w:r>
        <w:rPr>
          <w:rFonts w:hint="eastAsia" w:ascii="Times New Roman" w:hAnsi="Times New Roman" w:eastAsia="楷体_GB2312" w:cs="Times New Roman"/>
          <w:bCs/>
          <w:spacing w:val="0"/>
          <w:sz w:val="32"/>
          <w:szCs w:val="32"/>
          <w:lang w:val="en-US" w:eastAsia="zh-CN"/>
        </w:rPr>
        <w:t>、</w:t>
      </w:r>
      <w:r>
        <w:rPr>
          <w:rFonts w:hint="default" w:ascii="Times New Roman" w:hAnsi="Times New Roman" w:eastAsia="楷体_GB2312" w:cs="Times New Roman"/>
          <w:bCs/>
          <w:spacing w:val="0"/>
          <w:sz w:val="32"/>
          <w:szCs w:val="32"/>
          <w:lang w:val="en-US" w:eastAsia="zh-CN"/>
        </w:rPr>
        <w:t>危险废物</w:t>
      </w:r>
      <w:r>
        <w:rPr>
          <w:rFonts w:hint="eastAsia" w:ascii="Times New Roman" w:hAnsi="Times New Roman" w:eastAsia="楷体_GB2312" w:cs="Times New Roman"/>
          <w:bCs/>
          <w:spacing w:val="0"/>
          <w:sz w:val="32"/>
          <w:szCs w:val="32"/>
          <w:lang w:val="en-US" w:eastAsia="zh-CN"/>
        </w:rPr>
        <w:t>及新污染物治理</w:t>
      </w:r>
      <w:r>
        <w:rPr>
          <w:rFonts w:hint="default" w:ascii="Times New Roman" w:hAnsi="Times New Roman" w:eastAsia="楷体_GB2312" w:cs="Times New Roman"/>
          <w:bCs/>
          <w:spacing w:val="0"/>
          <w:sz w:val="32"/>
          <w:szCs w:val="32"/>
          <w:lang w:val="en-US" w:eastAsia="zh-CN"/>
        </w:rPr>
        <w:t>。</w:t>
      </w:r>
      <w:r>
        <w:rPr>
          <w:rFonts w:hint="default" w:ascii="Times New Roman" w:hAnsi="Times New Roman" w:cs="Times New Roman"/>
          <w:bCs/>
          <w:spacing w:val="0"/>
          <w:sz w:val="32"/>
          <w:szCs w:val="32"/>
          <w:lang w:val="en-US" w:eastAsia="zh-CN"/>
        </w:rPr>
        <w:t>完善生活垃圾处置体系，改造提升生活垃圾焚烧发电、厨余垃圾资源化利用项目，实现生活垃圾“减量化、无害化、资源化”处置。强化危险废物监管，规范化工、医疗等领域危险废物收集、运输、处置流程。建立危险废物“产生—收集—运输—处置”全链条监管系统，运用信息化手段实现全程可追溯，严厉打击非法倾倒、转移行为。保障医疗废物处置安全，对全区医疗机构医疗废物实行统一收集、密闭运输、集中处置，确保日产日清。推动新污染物治理协同化建设。强化政府部门间沟通协调，统筹推进新污染物治理与产业发展、市场监督管理、危险化学品和农药管理等工作，形成分工负责、协同配合、齐抓共管的新污染物治理工作新局面，依法实施新污染物治理。定期开展环保设施运行检查，防止二次污染。</w:t>
      </w:r>
    </w:p>
    <w:p w14:paraId="372EB055">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61" w:name="_Toc1085554599"/>
      <w:bookmarkStart w:id="62" w:name="_Toc8367"/>
      <w:r>
        <w:rPr>
          <w:rFonts w:hint="eastAsia" w:ascii="楷体_GB2312" w:hAnsi="楷体_GB2312" w:eastAsia="楷体_GB2312" w:cs="楷体_GB2312"/>
          <w:kern w:val="21"/>
          <w:sz w:val="32"/>
          <w:szCs w:val="32"/>
          <w:highlight w:val="none"/>
          <w:lang w:val="en-US" w:eastAsia="zh-CN"/>
        </w:rPr>
        <w:t>第四节  加强生态保护与修复</w:t>
      </w:r>
      <w:bookmarkEnd w:id="61"/>
      <w:bookmarkEnd w:id="62"/>
    </w:p>
    <w:p w14:paraId="11566E5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cs="Times New Roman"/>
          <w:bCs/>
          <w:spacing w:val="0"/>
          <w:sz w:val="32"/>
          <w:szCs w:val="32"/>
          <w:lang w:val="en-US" w:eastAsia="zh-CN"/>
        </w:rPr>
        <w:t>统筹山水林田湖草沙系统治理，强化保护修复协同监管，筑牢生态安全屏障，健全现代环境治理体系，全力打好新时代生态保护修复攻坚战。</w:t>
      </w:r>
    </w:p>
    <w:p w14:paraId="7864B73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构建生态安全空间格局。</w:t>
      </w:r>
      <w:r>
        <w:rPr>
          <w:rFonts w:hint="default" w:ascii="Times New Roman" w:hAnsi="Times New Roman" w:cs="Times New Roman"/>
          <w:bCs/>
          <w:spacing w:val="0"/>
          <w:sz w:val="32"/>
          <w:szCs w:val="32"/>
          <w:lang w:val="en-US" w:eastAsia="zh-CN"/>
        </w:rPr>
        <w:t>严格落实主体功能区规划，严禁在生态保护红线内开展破坏性开发。聚焦“城绿交融”布局，整合口袋公园、湿地公园资源，打造城市生态绿核。培育生态农业片区，推动农业生产与生态保护协同。沿蟠龙河、小沙河构建滨水生态廊道，种植乡土树种与水生植物，提升水土保持与水质净化能力。串联山体公园、矿山修复区、农田林网，打造“步行+骑行”绿色廊道网络，实现生态节点互联互通。</w:t>
      </w:r>
    </w:p>
    <w:p w14:paraId="230E40D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推进重点生态修复工程。</w:t>
      </w:r>
      <w:r>
        <w:rPr>
          <w:rFonts w:hint="default" w:ascii="Times New Roman" w:hAnsi="Times New Roman" w:cs="Times New Roman"/>
          <w:bCs/>
          <w:spacing w:val="0"/>
          <w:sz w:val="32"/>
          <w:szCs w:val="32"/>
          <w:lang w:val="en-US" w:eastAsia="zh-CN"/>
        </w:rPr>
        <w:t>在河流沿岸因地制宜布局亲水平台、休闲步道，打造“生态+民生”滨水空间。实施历史遗留废弃矿山专项治理工程，加快推动22处历史遗留废弃矿山图斑生态修复，通过清渣整形、覆土植绿，完成山体生态植被恢复。提升城市绿化品质，在主次干道进行绿化升级，推广乡土树种与彩叶植物，打造“一路一景”绿化景观。组织“全民植树”活动，鼓励机关单位、企业、居民参与造林，推动城市森林覆盖率稳步提升。</w:t>
      </w:r>
    </w:p>
    <w:p w14:paraId="1B2A791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pacing w:val="0"/>
          <w:sz w:val="32"/>
          <w:szCs w:val="32"/>
          <w:lang w:val="en-US" w:eastAsia="zh-CN"/>
        </w:rPr>
      </w:pPr>
      <w:r>
        <w:rPr>
          <w:rFonts w:hint="default" w:ascii="Times New Roman" w:hAnsi="Times New Roman" w:eastAsia="楷体_GB2312" w:cs="Times New Roman"/>
          <w:bCs/>
          <w:spacing w:val="0"/>
          <w:sz w:val="32"/>
          <w:szCs w:val="32"/>
          <w:lang w:val="en-US" w:eastAsia="zh-CN"/>
        </w:rPr>
        <w:t>完善生态治理机制。</w:t>
      </w:r>
      <w:r>
        <w:rPr>
          <w:rFonts w:hint="default" w:ascii="Times New Roman" w:hAnsi="Times New Roman" w:cs="Times New Roman"/>
          <w:bCs/>
          <w:spacing w:val="0"/>
          <w:sz w:val="32"/>
          <w:szCs w:val="32"/>
          <w:lang w:val="en-US" w:eastAsia="zh-CN"/>
        </w:rPr>
        <w:t>建立生态环境质量评价机制，强化生态责任考核。推动生态治理与环境影响评价、排污许可等协调联动改革，健全跨部门、跨区域、多层级的生态环境风险管控与应急协调联动机制。依托低空无人机遥感网，实现生态环境监测与智能预警。强化生态保护红线、自然保护地生态环境监管。全面实行排污许可制。深化生态文明示范建设，一体推进美丽蓝天、美丽河湖、美丽山川等“美丽系列”建设。</w:t>
      </w:r>
    </w:p>
    <w:p w14:paraId="4B8CAF69">
      <w:pPr>
        <w:pStyle w:val="18"/>
        <w:ind w:left="0" w:leftChars="0" w:firstLine="0" w:firstLineChars="0"/>
        <w:rPr>
          <w:rFonts w:hint="default" w:ascii="Times New Roman" w:hAnsi="Times New Roman" w:cs="Times New Roman"/>
          <w:bCs/>
          <w:spacing w:val="0"/>
          <w:sz w:val="32"/>
          <w:szCs w:val="32"/>
          <w:lang w:val="en-US" w:eastAsia="zh-CN"/>
        </w:rPr>
      </w:pPr>
    </w:p>
    <w:tbl>
      <w:tblPr>
        <w:tblStyle w:val="1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7"/>
      </w:tblGrid>
      <w:tr w14:paraId="324C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497" w:type="dxa"/>
            <w:noWrap w:val="0"/>
            <w:vAlign w:val="center"/>
          </w:tcPr>
          <w:p w14:paraId="708EEDA7">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00" w:lineRule="exact"/>
              <w:ind w:left="0" w:right="0" w:firstLine="0" w:firstLineChars="0"/>
              <w:jc w:val="center"/>
              <w:textAlignment w:val="auto"/>
              <w:rPr>
                <w:rFonts w:hint="default" w:ascii="Times New Roman" w:hAnsi="Times New Roman" w:eastAsia="黑体" w:cs="Times New Roman"/>
                <w:b w:val="0"/>
                <w:bCs w:val="0"/>
                <w:spacing w:val="0"/>
                <w:kern w:val="21"/>
                <w:sz w:val="28"/>
                <w:szCs w:val="28"/>
              </w:rPr>
            </w:pPr>
            <w:r>
              <w:rPr>
                <w:rFonts w:hint="default" w:ascii="Times New Roman" w:hAnsi="Times New Roman" w:eastAsia="黑体" w:cs="Times New Roman"/>
                <w:b w:val="0"/>
                <w:bCs w:val="0"/>
                <w:spacing w:val="0"/>
                <w:kern w:val="21"/>
                <w:sz w:val="28"/>
                <w:szCs w:val="28"/>
                <w:highlight w:val="none"/>
              </w:rPr>
              <w:t>专栏</w:t>
            </w:r>
            <w:r>
              <w:rPr>
                <w:rFonts w:hint="default" w:ascii="Times New Roman" w:hAnsi="Times New Roman" w:eastAsia="黑体" w:cs="Times New Roman"/>
                <w:b w:val="0"/>
                <w:bCs w:val="0"/>
                <w:spacing w:val="0"/>
                <w:kern w:val="21"/>
                <w:sz w:val="28"/>
                <w:szCs w:val="28"/>
                <w:highlight w:val="none"/>
                <w:lang w:val="en-US" w:eastAsia="zh-CN"/>
              </w:rPr>
              <w:t>6</w:t>
            </w:r>
            <w:r>
              <w:rPr>
                <w:rFonts w:hint="default" w:ascii="Times New Roman" w:hAnsi="Times New Roman" w:eastAsia="黑体" w:cs="Times New Roman"/>
                <w:b w:val="0"/>
                <w:bCs w:val="0"/>
                <w:spacing w:val="0"/>
                <w:kern w:val="21"/>
                <w:sz w:val="28"/>
                <w:szCs w:val="28"/>
              </w:rPr>
              <w:t>：</w:t>
            </w:r>
            <w:r>
              <w:rPr>
                <w:rFonts w:hint="default" w:ascii="Times New Roman" w:hAnsi="Times New Roman" w:eastAsia="黑体" w:cs="Times New Roman"/>
                <w:b w:val="0"/>
                <w:bCs w:val="0"/>
                <w:spacing w:val="0"/>
                <w:kern w:val="21"/>
                <w:sz w:val="28"/>
                <w:szCs w:val="28"/>
                <w:lang w:val="en-US" w:eastAsia="zh-CN"/>
              </w:rPr>
              <w:t>生态环保</w:t>
            </w:r>
            <w:r>
              <w:rPr>
                <w:rFonts w:hint="default" w:ascii="Times New Roman" w:hAnsi="Times New Roman" w:eastAsia="黑体" w:cs="Times New Roman"/>
                <w:b w:val="0"/>
                <w:bCs w:val="0"/>
                <w:spacing w:val="0"/>
                <w:kern w:val="21"/>
                <w:sz w:val="28"/>
                <w:szCs w:val="28"/>
              </w:rPr>
              <w:t>重点项目</w:t>
            </w:r>
          </w:p>
        </w:tc>
      </w:tr>
      <w:tr w14:paraId="41CD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4" w:hRule="atLeast"/>
          <w:jc w:val="center"/>
        </w:trPr>
        <w:tc>
          <w:tcPr>
            <w:tcW w:w="8497" w:type="dxa"/>
            <w:noWrap w:val="0"/>
            <w:vAlign w:val="center"/>
          </w:tcPr>
          <w:p w14:paraId="3D919381">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1.中科通融有机废弃物绿色循环利用与生物蛋白生产基地项目</w:t>
            </w:r>
          </w:p>
          <w:p w14:paraId="37903AF2">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2.枣庄市薛城区再生水利用项目</w:t>
            </w:r>
          </w:p>
          <w:p w14:paraId="2A66140C">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3.薛城区建筑垃圾消纳场项目</w:t>
            </w:r>
          </w:p>
          <w:p w14:paraId="4D5CE2BC">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4.枣庄市循环经济产业基地项目</w:t>
            </w:r>
          </w:p>
          <w:p w14:paraId="1AADCE27">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5.年回收利用5万吨无动力废旧驳船项目</w:t>
            </w:r>
          </w:p>
        </w:tc>
      </w:tr>
    </w:tbl>
    <w:p w14:paraId="6D972416">
      <w:pPr>
        <w:ind w:left="0" w:leftChars="0" w:firstLine="640" w:firstLineChars="200"/>
        <w:rPr>
          <w:rFonts w:hint="eastAsia" w:ascii="黑体" w:hAnsi="黑体" w:eastAsia="黑体" w:cs="黑体"/>
          <w:b w:val="0"/>
          <w:bCs/>
          <w:spacing w:val="0"/>
          <w:kern w:val="21"/>
          <w:sz w:val="32"/>
          <w:szCs w:val="32"/>
          <w:lang w:val="en-US" w:eastAsia="zh-CN"/>
        </w:rPr>
      </w:pPr>
    </w:p>
    <w:p w14:paraId="7E0B23AB">
      <w:pPr>
        <w:ind w:left="0" w:leftChars="0" w:firstLine="640" w:firstLineChars="200"/>
        <w:rPr>
          <w:rFonts w:hint="eastAsia" w:ascii="黑体" w:hAnsi="黑体" w:eastAsia="黑体" w:cs="黑体"/>
          <w:b w:val="0"/>
          <w:bCs/>
          <w:spacing w:val="0"/>
          <w:kern w:val="21"/>
          <w:sz w:val="32"/>
          <w:szCs w:val="32"/>
          <w:lang w:val="en-US" w:eastAsia="zh-CN"/>
        </w:rPr>
      </w:pPr>
      <w:r>
        <w:rPr>
          <w:rFonts w:hint="eastAsia" w:ascii="黑体" w:hAnsi="黑体" w:eastAsia="黑体" w:cs="黑体"/>
          <w:b w:val="0"/>
          <w:bCs/>
          <w:spacing w:val="0"/>
          <w:kern w:val="21"/>
          <w:sz w:val="32"/>
          <w:szCs w:val="32"/>
          <w:lang w:val="en-US" w:eastAsia="zh-CN"/>
        </w:rPr>
        <w:t>第十章  推进文化强区建设，繁荣文化事业文化产业</w:t>
      </w:r>
    </w:p>
    <w:p w14:paraId="1D862B73">
      <w:pPr>
        <w:keepNext w:val="0"/>
        <w:keepLines w:val="0"/>
        <w:pageBreakBefore w:val="0"/>
        <w:widowControl w:val="0"/>
        <w:kinsoku/>
        <w:wordWrap/>
        <w:overflowPunct/>
        <w:topLinePunct w:val="0"/>
        <w:autoSpaceDE/>
        <w:autoSpaceDN/>
        <w:bidi w:val="0"/>
        <w:adjustRightInd w:val="0"/>
        <w:snapToGrid w:val="0"/>
        <w:spacing w:before="313" w:beforeLines="100" w:line="580" w:lineRule="exact"/>
        <w:ind w:firstLine="640" w:firstLineChars="200"/>
        <w:textAlignment w:val="auto"/>
        <w:rPr>
          <w:rFonts w:hint="default" w:ascii="Times New Roman" w:hAnsi="Times New Roman" w:eastAsia="仿宋_GB2312" w:cs="Times New Roman"/>
          <w:spacing w:val="0"/>
          <w:kern w:val="21"/>
          <w:sz w:val="32"/>
          <w:szCs w:val="32"/>
        </w:rPr>
      </w:pPr>
      <w:r>
        <w:rPr>
          <w:rFonts w:hint="default" w:ascii="Times New Roman" w:hAnsi="Times New Roman" w:cs="Times New Roman"/>
          <w:spacing w:val="0"/>
          <w:kern w:val="21"/>
          <w:sz w:val="32"/>
          <w:szCs w:val="32"/>
          <w:lang w:val="en-US" w:eastAsia="zh-CN"/>
        </w:rPr>
        <w:t>聚焦</w:t>
      </w:r>
      <w:r>
        <w:rPr>
          <w:rFonts w:hint="default" w:ascii="Times New Roman" w:hAnsi="Times New Roman" w:eastAsia="仿宋_GB2312" w:cs="Times New Roman"/>
          <w:spacing w:val="0"/>
          <w:kern w:val="21"/>
          <w:sz w:val="32"/>
          <w:szCs w:val="32"/>
        </w:rPr>
        <w:t>以文铸魂、以文惠民、以文兴产、以文塑城</w:t>
      </w:r>
      <w:r>
        <w:rPr>
          <w:rFonts w:hint="default" w:ascii="Times New Roman" w:hAnsi="Times New Roman" w:cs="Times New Roman"/>
          <w:color w:val="auto"/>
          <w:spacing w:val="0"/>
          <w:lang w:val="en-US" w:eastAsia="zh-CN"/>
        </w:rPr>
        <w:t>，深挖红色文化、古薛文化等特色资源</w:t>
      </w:r>
      <w:r>
        <w:rPr>
          <w:rFonts w:hint="default" w:ascii="Times New Roman" w:hAnsi="Times New Roman" w:eastAsia="仿宋_GB2312" w:cs="Times New Roman"/>
          <w:spacing w:val="0"/>
          <w:kern w:val="21"/>
          <w:sz w:val="32"/>
          <w:szCs w:val="32"/>
        </w:rPr>
        <w:t>，推动文化事业提质增效、文化产业蓬勃</w:t>
      </w:r>
      <w:r>
        <w:rPr>
          <w:rFonts w:hint="default" w:ascii="Times New Roman" w:hAnsi="Times New Roman" w:cs="Times New Roman"/>
          <w:spacing w:val="0"/>
          <w:kern w:val="21"/>
          <w:sz w:val="32"/>
          <w:szCs w:val="32"/>
          <w:lang w:val="en-US" w:eastAsia="zh-CN"/>
        </w:rPr>
        <w:t>发展</w:t>
      </w:r>
      <w:r>
        <w:rPr>
          <w:rFonts w:hint="default" w:ascii="Times New Roman" w:hAnsi="Times New Roman" w:eastAsia="仿宋_GB2312" w:cs="Times New Roman"/>
          <w:spacing w:val="0"/>
          <w:kern w:val="21"/>
          <w:sz w:val="32"/>
          <w:szCs w:val="32"/>
        </w:rPr>
        <w:t>、文旅融合深度赋能，</w:t>
      </w:r>
      <w:r>
        <w:rPr>
          <w:rFonts w:hint="default" w:ascii="Times New Roman" w:hAnsi="Times New Roman" w:cs="Times New Roman"/>
          <w:spacing w:val="0"/>
          <w:kern w:val="21"/>
          <w:sz w:val="32"/>
          <w:szCs w:val="32"/>
          <w:lang w:eastAsia="zh-CN"/>
        </w:rPr>
        <w:t>让文化成为城市鲜明标识。</w:t>
      </w:r>
    </w:p>
    <w:p w14:paraId="0A9858D7">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63" w:name="_Toc683433036"/>
      <w:r>
        <w:rPr>
          <w:rFonts w:hint="eastAsia" w:ascii="楷体_GB2312" w:hAnsi="楷体_GB2312" w:eastAsia="楷体_GB2312" w:cs="楷体_GB2312"/>
          <w:kern w:val="21"/>
          <w:sz w:val="32"/>
          <w:szCs w:val="32"/>
          <w:highlight w:val="none"/>
          <w:lang w:val="en-US" w:eastAsia="zh-CN"/>
        </w:rPr>
        <w:t>第一节  提升城市文明程度</w:t>
      </w:r>
      <w:bookmarkEnd w:id="63"/>
    </w:p>
    <w:p w14:paraId="35DA12C2">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spacing w:val="0"/>
          <w:kern w:val="21"/>
          <w:sz w:val="32"/>
          <w:szCs w:val="32"/>
          <w:lang w:eastAsia="zh-CN"/>
        </w:rPr>
      </w:pPr>
      <w:r>
        <w:rPr>
          <w:rFonts w:hint="default" w:ascii="Times New Roman" w:hAnsi="Times New Roman" w:cs="Times New Roman"/>
          <w:spacing w:val="0"/>
          <w:kern w:val="21"/>
          <w:sz w:val="32"/>
          <w:szCs w:val="32"/>
          <w:lang w:eastAsia="zh-CN"/>
        </w:rPr>
        <w:t>坚定文化自信，加强社会主义精神文明建设，把社会主义核心价值观融入社会发展各方面，不断提升群众文明素养和社会文明程度。</w:t>
      </w:r>
    </w:p>
    <w:p w14:paraId="32CD0749">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lang w:eastAsia="zh-CN"/>
        </w:rPr>
      </w:pPr>
      <w:r>
        <w:rPr>
          <w:rFonts w:hint="eastAsia" w:ascii="楷体_GB2312" w:hAnsi="楷体_GB2312" w:eastAsia="楷体_GB2312" w:cs="楷体_GB2312"/>
          <w:b w:val="0"/>
          <w:bCs w:val="0"/>
          <w:spacing w:val="0"/>
          <w:lang w:val="en-US" w:eastAsia="zh-CN"/>
        </w:rPr>
        <w:t>弘扬和践行社会主义核心价值观。</w:t>
      </w:r>
      <w:r>
        <w:rPr>
          <w:rFonts w:hint="default" w:ascii="Times New Roman" w:hAnsi="Times New Roman" w:eastAsia="仿宋_GB2312" w:cs="Times New Roman"/>
          <w:spacing w:val="0"/>
          <w:kern w:val="21"/>
          <w:sz w:val="32"/>
          <w:szCs w:val="32"/>
        </w:rPr>
        <w:t>深化党的创新理论学习宣传教育，坚持不懈用习近平新时代中国特色社会主义思想凝心铸魂。常态化开展“薛城讲堂”“百姓宣讲”等品牌活动，持续推动社会主义核心价值观“六进”和“三个融入”。以社会主义核心价值观引领文化建设，深化新时代公民道德建设，涵养全社会昂扬奋进的精神气质。深化美德山东</w:t>
      </w:r>
      <w:r>
        <w:rPr>
          <w:rFonts w:hint="default" w:ascii="Times New Roman" w:hAnsi="Times New Roman" w:cs="Times New Roman"/>
          <w:spacing w:val="0"/>
          <w:kern w:val="21"/>
          <w:sz w:val="32"/>
          <w:szCs w:val="32"/>
          <w:lang w:val="en-US" w:eastAsia="zh-CN"/>
        </w:rPr>
        <w:t>和</w:t>
      </w:r>
      <w:r>
        <w:rPr>
          <w:rFonts w:hint="default" w:ascii="Times New Roman" w:hAnsi="Times New Roman" w:eastAsia="仿宋_GB2312" w:cs="Times New Roman"/>
          <w:spacing w:val="0"/>
          <w:kern w:val="21"/>
          <w:sz w:val="32"/>
          <w:szCs w:val="32"/>
        </w:rPr>
        <w:t>信用山东建设试点，将诚信文化融入城市治理各环节，健全守信激励、失信惩戒机制，推动形成崇德向善、</w:t>
      </w:r>
      <w:r>
        <w:rPr>
          <w:rFonts w:hint="default" w:ascii="Times New Roman" w:hAnsi="Times New Roman" w:cs="Times New Roman"/>
          <w:spacing w:val="0"/>
          <w:kern w:val="21"/>
          <w:sz w:val="32"/>
          <w:szCs w:val="32"/>
          <w:lang w:val="en-US" w:eastAsia="zh-CN"/>
        </w:rPr>
        <w:t>诚实</w:t>
      </w:r>
      <w:r>
        <w:rPr>
          <w:rFonts w:hint="default" w:ascii="Times New Roman" w:hAnsi="Times New Roman" w:eastAsia="仿宋_GB2312" w:cs="Times New Roman"/>
          <w:spacing w:val="0"/>
          <w:kern w:val="21"/>
          <w:sz w:val="32"/>
          <w:szCs w:val="32"/>
        </w:rPr>
        <w:t>守信的社会风尚</w:t>
      </w:r>
      <w:r>
        <w:rPr>
          <w:rFonts w:hint="default" w:ascii="Times New Roman" w:hAnsi="Times New Roman" w:cs="Times New Roman"/>
          <w:spacing w:val="0"/>
          <w:kern w:val="21"/>
          <w:sz w:val="32"/>
          <w:szCs w:val="32"/>
          <w:lang w:eastAsia="zh-CN"/>
        </w:rPr>
        <w:t>。</w:t>
      </w:r>
    </w:p>
    <w:p w14:paraId="45D615BB">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rPr>
      </w:pPr>
      <w:r>
        <w:rPr>
          <w:rFonts w:hint="eastAsia" w:ascii="楷体_GB2312" w:hAnsi="楷体_GB2312" w:eastAsia="楷体_GB2312" w:cs="楷体_GB2312"/>
          <w:b w:val="0"/>
          <w:bCs w:val="0"/>
          <w:spacing w:val="0"/>
          <w:lang w:val="en-US" w:eastAsia="zh-CN"/>
        </w:rPr>
        <w:t>推进城乡精神文明建设融合发展。</w:t>
      </w:r>
      <w:r>
        <w:rPr>
          <w:rFonts w:hint="default" w:ascii="Times New Roman" w:hAnsi="Times New Roman" w:eastAsia="仿宋_GB2312" w:cs="Times New Roman"/>
          <w:spacing w:val="0"/>
          <w:kern w:val="21"/>
          <w:sz w:val="32"/>
          <w:szCs w:val="32"/>
        </w:rPr>
        <w:t>依托新时代文明实践中心（所、站）、城市书房等阵地，积极开展群众性精神文明建设活动。持续深化“文明实践+”主题实践活动，推动文明城市向城市文明转变。常态化开展“薛城好人”“道德模范”等评选活动，积极选树一批道德模范、劳动模范等先进典型，着力营造崇德向善的环境。深化农村移风易俗，推动乡村社会风气和农民精神风貌不断向好，全力</w:t>
      </w:r>
      <w:r>
        <w:rPr>
          <w:rFonts w:hint="default" w:ascii="Times New Roman" w:hAnsi="Times New Roman" w:cs="Times New Roman"/>
          <w:spacing w:val="0"/>
          <w:kern w:val="21"/>
          <w:sz w:val="32"/>
          <w:szCs w:val="32"/>
          <w:lang w:eastAsia="zh-CN"/>
        </w:rPr>
        <w:t>争</w:t>
      </w:r>
      <w:r>
        <w:rPr>
          <w:rFonts w:hint="default" w:ascii="Times New Roman" w:hAnsi="Times New Roman" w:eastAsia="仿宋_GB2312" w:cs="Times New Roman"/>
          <w:spacing w:val="0"/>
          <w:kern w:val="21"/>
          <w:sz w:val="32"/>
          <w:szCs w:val="32"/>
        </w:rPr>
        <w:t>创全国文明城市。</w:t>
      </w:r>
    </w:p>
    <w:p w14:paraId="58859BF3">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lang w:eastAsia="zh-CN"/>
        </w:rPr>
      </w:pPr>
      <w:r>
        <w:rPr>
          <w:rFonts w:hint="default" w:ascii="Times New Roman" w:hAnsi="Times New Roman" w:eastAsia="楷体_GB2312" w:cs="Times New Roman"/>
          <w:spacing w:val="0"/>
          <w:kern w:val="21"/>
          <w:sz w:val="32"/>
          <w:szCs w:val="32"/>
          <w:lang w:eastAsia="zh-CN"/>
        </w:rPr>
        <w:t>加强正面宣传和舆论引导。</w:t>
      </w:r>
      <w:r>
        <w:rPr>
          <w:rFonts w:hint="default" w:ascii="Times New Roman" w:hAnsi="Times New Roman" w:eastAsia="仿宋_GB2312" w:cs="Times New Roman"/>
          <w:spacing w:val="0"/>
          <w:kern w:val="21"/>
          <w:sz w:val="32"/>
          <w:szCs w:val="32"/>
        </w:rPr>
        <w:t>切实加强党对意识形态工作的全面领导，牢牢掌握意识形态工作领导权、话语权。</w:t>
      </w:r>
      <w:r>
        <w:rPr>
          <w:rFonts w:hint="default" w:ascii="Times New Roman" w:hAnsi="Times New Roman" w:cs="Times New Roman"/>
          <w:spacing w:val="0"/>
          <w:kern w:val="21"/>
          <w:sz w:val="32"/>
          <w:szCs w:val="32"/>
          <w:lang w:eastAsia="zh-CN"/>
        </w:rPr>
        <w:t>进一步完善新闻发布工作制度，建强新闻发言人队伍。健全网络生态治理长效机制，坚决打击网络乱象，切断利益链和产业链，持续营造风清气正的网络空间。健全完善重大舆情和突发事件舆论引导工作机制，分级分类做好管控处置。优化互联网资源配置效率，加快与人工智能等新技术融合运用，提升媒体融合发展效能。</w:t>
      </w:r>
    </w:p>
    <w:p w14:paraId="1D36EC83">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64" w:name="_Toc803736168"/>
      <w:r>
        <w:rPr>
          <w:rFonts w:hint="eastAsia" w:ascii="楷体_GB2312" w:hAnsi="楷体_GB2312" w:eastAsia="楷体_GB2312" w:cs="楷体_GB2312"/>
          <w:kern w:val="21"/>
          <w:sz w:val="32"/>
          <w:szCs w:val="32"/>
          <w:highlight w:val="none"/>
          <w:lang w:val="en-US" w:eastAsia="zh-CN"/>
        </w:rPr>
        <w:t>第二节  积极发展文化事业</w:t>
      </w:r>
      <w:bookmarkEnd w:id="64"/>
    </w:p>
    <w:p w14:paraId="251339F0">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lang w:eastAsia="zh-CN"/>
        </w:rPr>
      </w:pPr>
      <w:r>
        <w:rPr>
          <w:rFonts w:hint="default" w:ascii="Times New Roman" w:hAnsi="Times New Roman" w:eastAsia="仿宋_GB2312" w:cs="Times New Roman"/>
          <w:spacing w:val="0"/>
          <w:kern w:val="21"/>
          <w:sz w:val="32"/>
          <w:szCs w:val="32"/>
        </w:rPr>
        <w:t>实施公共文化服务提质增效行动，</w:t>
      </w:r>
      <w:r>
        <w:rPr>
          <w:rFonts w:hint="default" w:ascii="Times New Roman" w:hAnsi="Times New Roman" w:cs="Times New Roman"/>
          <w:spacing w:val="0"/>
          <w:kern w:val="21"/>
          <w:sz w:val="32"/>
          <w:szCs w:val="32"/>
          <w:lang w:eastAsia="zh-CN"/>
        </w:rPr>
        <w:t>加快构建</w:t>
      </w:r>
      <w:r>
        <w:rPr>
          <w:rFonts w:hint="default" w:ascii="Times New Roman" w:hAnsi="Times New Roman" w:eastAsia="仿宋_GB2312" w:cs="Times New Roman"/>
          <w:spacing w:val="0"/>
          <w:kern w:val="21"/>
          <w:sz w:val="32"/>
          <w:szCs w:val="32"/>
        </w:rPr>
        <w:t>城乡一体公共文化服务体系，让群众就近便捷享受优质文化服务</w:t>
      </w:r>
      <w:r>
        <w:rPr>
          <w:rFonts w:hint="default" w:ascii="Times New Roman" w:hAnsi="Times New Roman" w:cs="Times New Roman"/>
          <w:spacing w:val="0"/>
          <w:kern w:val="21"/>
          <w:sz w:val="32"/>
          <w:szCs w:val="32"/>
          <w:lang w:eastAsia="zh-CN"/>
        </w:rPr>
        <w:t>。</w:t>
      </w:r>
    </w:p>
    <w:p w14:paraId="63B1BAE2">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rPr>
      </w:pPr>
      <w:r>
        <w:rPr>
          <w:rFonts w:hint="eastAsia" w:ascii="楷体_GB2312" w:hAnsi="楷体_GB2312" w:eastAsia="楷体_GB2312" w:cs="楷体_GB2312"/>
          <w:b w:val="0"/>
          <w:bCs w:val="0"/>
          <w:spacing w:val="0"/>
          <w:lang w:val="en-US" w:eastAsia="zh-CN"/>
        </w:rPr>
        <w:t>推进公共文化设施提质。</w:t>
      </w:r>
      <w:r>
        <w:rPr>
          <w:rFonts w:hint="default" w:ascii="Times New Roman" w:hAnsi="Times New Roman" w:cs="Times New Roman"/>
          <w:b w:val="0"/>
          <w:bCs w:val="0"/>
          <w:spacing w:val="0"/>
          <w:kern w:val="21"/>
          <w:sz w:val="32"/>
          <w:szCs w:val="32"/>
          <w:lang w:eastAsia="zh-CN"/>
        </w:rPr>
        <w:t>升级公共文化设施，优化镇街综合文化站功能配置，推进村级综合文化服务中心建设，保障城乡居民就近便捷享受文化服务</w:t>
      </w:r>
      <w:r>
        <w:rPr>
          <w:rFonts w:hint="default" w:ascii="Times New Roman" w:hAnsi="Times New Roman" w:eastAsia="仿宋_GB2312" w:cs="Times New Roman"/>
          <w:spacing w:val="0"/>
          <w:kern w:val="21"/>
          <w:sz w:val="32"/>
          <w:szCs w:val="32"/>
        </w:rPr>
        <w:t>，构建“区级标杆引领、镇街骨干支撑、村居基础覆盖”三级设施网络。</w:t>
      </w:r>
      <w:r>
        <w:rPr>
          <w:rFonts w:hint="default" w:ascii="Times New Roman" w:hAnsi="Times New Roman" w:cs="Times New Roman"/>
          <w:spacing w:val="0"/>
          <w:kern w:val="21"/>
          <w:sz w:val="32"/>
          <w:szCs w:val="32"/>
          <w:lang w:eastAsia="zh-CN"/>
        </w:rPr>
        <w:t>因地制宜</w:t>
      </w:r>
      <w:r>
        <w:rPr>
          <w:rFonts w:hint="default" w:ascii="Times New Roman" w:hAnsi="Times New Roman" w:eastAsia="仿宋_GB2312" w:cs="Times New Roman"/>
          <w:spacing w:val="0"/>
          <w:kern w:val="21"/>
          <w:sz w:val="32"/>
          <w:szCs w:val="32"/>
        </w:rPr>
        <w:t>打造城市书房、科普长廊、社区文化驿站等便民文化空间，新建中医药主题公园、来泉篮球星空社区公园等口袋公园文化景观，实现城乡居民“步行15分钟可达”文化服务圈。优化现有文化设施运营管理，完善开放时间、服务项目公示制度，提升设施利用率与群众体验感。</w:t>
      </w:r>
    </w:p>
    <w:p w14:paraId="36C824F3">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rPr>
      </w:pPr>
      <w:r>
        <w:rPr>
          <w:rFonts w:hint="eastAsia" w:ascii="楷体_GB2312" w:hAnsi="楷体_GB2312" w:eastAsia="楷体_GB2312" w:cs="楷体_GB2312"/>
          <w:b w:val="0"/>
          <w:bCs w:val="0"/>
          <w:spacing w:val="0"/>
          <w:lang w:val="en-US" w:eastAsia="zh-CN"/>
        </w:rPr>
        <w:t>丰富群众性文化供给。</w:t>
      </w:r>
      <w:r>
        <w:rPr>
          <w:rFonts w:hint="default" w:ascii="Times New Roman" w:hAnsi="Times New Roman" w:eastAsia="仿宋_GB2312" w:cs="Times New Roman"/>
          <w:spacing w:val="0"/>
          <w:kern w:val="21"/>
          <w:sz w:val="32"/>
          <w:szCs w:val="32"/>
        </w:rPr>
        <w:t>持续办好“百日消夏群众文化艺术节”等本土品牌活动，扩大“送戏下乡”“送电影下乡”覆盖面，每年开展基层文化活动不少于</w:t>
      </w:r>
      <w:r>
        <w:rPr>
          <w:rFonts w:hint="eastAsia" w:ascii="Times New Roman" w:hAnsi="Times New Roman" w:cs="Times New Roman"/>
          <w:spacing w:val="0"/>
          <w:kern w:val="21"/>
          <w:sz w:val="32"/>
          <w:szCs w:val="32"/>
          <w:lang w:val="en-US" w:eastAsia="zh-CN"/>
        </w:rPr>
        <w:t>200</w:t>
      </w:r>
      <w:r>
        <w:rPr>
          <w:rFonts w:hint="default" w:ascii="Times New Roman" w:hAnsi="Times New Roman" w:eastAsia="仿宋_GB2312" w:cs="Times New Roman"/>
          <w:spacing w:val="0"/>
          <w:kern w:val="21"/>
          <w:sz w:val="32"/>
          <w:szCs w:val="32"/>
        </w:rPr>
        <w:t>场，满足城乡群众多元文化需求。支持群众文艺团队发展，开设篆刻、合唱、戏曲等公益培训课程，搭建“群众文艺展演”“社区文化擂台”等展示平台，激发基层文化创造活力。聚焦“一老一幼”等群体，开发适老化文化体验、青少年非遗研学等定制化服务，推动公共文化服务精准触达。加大非遗保护宣传力度，创新非遗展演、展示及非</w:t>
      </w:r>
      <w:r>
        <w:rPr>
          <w:rFonts w:hint="default" w:ascii="Times New Roman" w:hAnsi="Times New Roman" w:eastAsia="仿宋_GB2312" w:cs="Times New Roman"/>
          <w:spacing w:val="-6"/>
          <w:kern w:val="21"/>
          <w:sz w:val="32"/>
          <w:szCs w:val="32"/>
        </w:rPr>
        <w:t>遗研学形式，举办非遗节庆活动，扩大非遗影响力与群众参与度。</w:t>
      </w:r>
    </w:p>
    <w:p w14:paraId="54A4E39B">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lang w:eastAsia="zh-CN"/>
        </w:rPr>
      </w:pPr>
      <w:r>
        <w:rPr>
          <w:rFonts w:hint="eastAsia" w:ascii="楷体_GB2312" w:hAnsi="楷体_GB2312" w:eastAsia="楷体_GB2312" w:cs="楷体_GB2312"/>
          <w:b w:val="0"/>
          <w:bCs w:val="0"/>
          <w:spacing w:val="0"/>
          <w:lang w:val="en-US" w:eastAsia="zh-CN"/>
        </w:rPr>
        <w:t>提升公共文化服务效能。</w:t>
      </w:r>
      <w:r>
        <w:rPr>
          <w:rFonts w:hint="default" w:ascii="Times New Roman" w:hAnsi="Times New Roman" w:eastAsia="仿宋_GB2312" w:cs="Times New Roman"/>
          <w:spacing w:val="0"/>
          <w:kern w:val="21"/>
          <w:sz w:val="32"/>
          <w:szCs w:val="32"/>
        </w:rPr>
        <w:t>推进公共文化服务数字化转型，搭建线上资源共享平台，整合文艺演出、文化</w:t>
      </w:r>
      <w:r>
        <w:rPr>
          <w:rFonts w:hint="default" w:ascii="Times New Roman" w:hAnsi="Times New Roman" w:cs="Times New Roman"/>
          <w:spacing w:val="0"/>
          <w:kern w:val="21"/>
          <w:sz w:val="32"/>
          <w:szCs w:val="32"/>
          <w:lang w:eastAsia="zh-CN"/>
        </w:rPr>
        <w:t>培训</w:t>
      </w:r>
      <w:r>
        <w:rPr>
          <w:rFonts w:hint="default" w:ascii="Times New Roman" w:hAnsi="Times New Roman" w:eastAsia="仿宋_GB2312" w:cs="Times New Roman"/>
          <w:spacing w:val="0"/>
          <w:kern w:val="21"/>
          <w:sz w:val="32"/>
          <w:szCs w:val="32"/>
        </w:rPr>
        <w:t>等数字资源，实现优质内容城乡全覆盖。健全供需对接机制，通过线上问卷、社区走访等方式广泛征集群众需求，推行“菜单式”“点单式”服务模式，精准匹配文化供给与群众需求。加强文化设施运营队伍建设，开展专业培训与交流学习，提升从业人员服务能力；鼓励志愿者参与文化设施管理、活动组织等工作，壮大公共文化服务力量</w:t>
      </w:r>
      <w:r>
        <w:rPr>
          <w:rFonts w:hint="default" w:ascii="Times New Roman" w:hAnsi="Times New Roman" w:cs="Times New Roman"/>
          <w:spacing w:val="0"/>
          <w:kern w:val="21"/>
          <w:sz w:val="32"/>
          <w:szCs w:val="32"/>
          <w:lang w:eastAsia="zh-CN"/>
        </w:rPr>
        <w:t>。</w:t>
      </w:r>
    </w:p>
    <w:p w14:paraId="2F4FD730">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65" w:name="_Toc1525395921"/>
      <w:r>
        <w:rPr>
          <w:rFonts w:hint="eastAsia" w:ascii="楷体_GB2312" w:hAnsi="楷体_GB2312" w:eastAsia="楷体_GB2312" w:cs="楷体_GB2312"/>
          <w:kern w:val="21"/>
          <w:sz w:val="32"/>
          <w:szCs w:val="32"/>
          <w:highlight w:val="none"/>
          <w:lang w:val="en-US" w:eastAsia="zh-CN"/>
        </w:rPr>
        <w:t>第三节  培育壮大文化产业</w:t>
      </w:r>
      <w:bookmarkEnd w:id="65"/>
    </w:p>
    <w:p w14:paraId="606F1995">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健全现代文化产业体系和市场体系，推动文化产业规模化、集群化、数字化发展，提升高质量文化供给能力。</w:t>
      </w:r>
    </w:p>
    <w:p w14:paraId="4CC08EB3">
      <w:pPr>
        <w:keepNext w:val="0"/>
        <w:keepLines w:val="0"/>
        <w:pageBreakBefore w:val="0"/>
        <w:widowControl w:val="0"/>
        <w:kinsoku/>
        <w:wordWrap/>
        <w:overflowPunct/>
        <w:topLinePunct w:val="0"/>
        <w:autoSpaceDE/>
        <w:autoSpaceDN/>
        <w:bidi w:val="0"/>
        <w:spacing w:line="580" w:lineRule="exact"/>
        <w:textAlignment w:val="auto"/>
        <w:rPr>
          <w:rFonts w:hint="eastAsia" w:ascii="Times New Roman" w:hAnsi="Times New Roman" w:eastAsia="仿宋_GB2312" w:cs="Times New Roman"/>
          <w:color w:val="auto"/>
          <w:spacing w:val="0"/>
          <w:kern w:val="21"/>
          <w:sz w:val="32"/>
          <w:szCs w:val="32"/>
          <w:lang w:eastAsia="zh-CN"/>
        </w:rPr>
      </w:pPr>
      <w:r>
        <w:rPr>
          <w:rFonts w:hint="default" w:ascii="Times New Roman" w:hAnsi="Times New Roman" w:eastAsia="楷体_GB2312" w:cs="Times New Roman"/>
          <w:color w:val="auto"/>
          <w:spacing w:val="0"/>
          <w:kern w:val="21"/>
          <w:sz w:val="32"/>
          <w:szCs w:val="32"/>
          <w:lang w:eastAsia="zh-CN"/>
        </w:rPr>
        <w:t>打造特色文创品牌。</w:t>
      </w:r>
      <w:r>
        <w:rPr>
          <w:rFonts w:hint="eastAsia" w:ascii="Times New Roman" w:hAnsi="Times New Roman" w:cs="Times New Roman"/>
          <w:color w:val="auto"/>
          <w:spacing w:val="0"/>
          <w:kern w:val="21"/>
          <w:sz w:val="32"/>
          <w:szCs w:val="32"/>
          <w:lang w:eastAsia="zh-CN"/>
        </w:rPr>
        <w:t>围绕雕塑雕刻、特色文化美食、陶瓷艺术、文化传媒等产业，着力打造文化创意产业品牌。以传承铁道游击队精神为核心，通过开发红色文化文创产品、策划微短剧等形式，</w:t>
      </w:r>
      <w:r>
        <w:rPr>
          <w:rFonts w:hint="default" w:ascii="Times New Roman" w:hAnsi="Times New Roman" w:eastAsia="仿宋_GB2312" w:cs="Times New Roman"/>
          <w:color w:val="auto"/>
          <w:spacing w:val="0"/>
          <w:kern w:val="21"/>
          <w:sz w:val="32"/>
          <w:szCs w:val="32"/>
        </w:rPr>
        <w:t>推动红色精神具象化传播。聚焦</w:t>
      </w:r>
      <w:r>
        <w:rPr>
          <w:rFonts w:hint="eastAsia" w:ascii="Times New Roman" w:hAnsi="Times New Roman" w:cs="Times New Roman"/>
          <w:color w:val="auto"/>
          <w:spacing w:val="0"/>
          <w:kern w:val="21"/>
          <w:sz w:val="32"/>
          <w:szCs w:val="32"/>
          <w:lang w:eastAsia="zh-CN"/>
        </w:rPr>
        <w:t>辣子鸡等</w:t>
      </w:r>
      <w:r>
        <w:rPr>
          <w:rFonts w:hint="default" w:ascii="Times New Roman" w:hAnsi="Times New Roman" w:eastAsia="仿宋_GB2312" w:cs="Times New Roman"/>
          <w:color w:val="auto"/>
          <w:spacing w:val="0"/>
          <w:kern w:val="21"/>
          <w:sz w:val="32"/>
          <w:szCs w:val="32"/>
        </w:rPr>
        <w:t>地方特色美食，推出一系列以冰箱贴和即食食品为主的文创产品</w:t>
      </w:r>
      <w:r>
        <w:rPr>
          <w:rFonts w:hint="eastAsia" w:ascii="Times New Roman" w:hAnsi="Times New Roman" w:cs="Times New Roman"/>
          <w:color w:val="auto"/>
          <w:spacing w:val="0"/>
          <w:kern w:val="21"/>
          <w:sz w:val="32"/>
          <w:szCs w:val="32"/>
          <w:lang w:eastAsia="zh-CN"/>
        </w:rPr>
        <w:t>，</w:t>
      </w:r>
      <w:r>
        <w:rPr>
          <w:rFonts w:hint="default" w:ascii="Times New Roman" w:hAnsi="Times New Roman" w:eastAsia="仿宋_GB2312" w:cs="Times New Roman"/>
          <w:color w:val="auto"/>
          <w:spacing w:val="0"/>
          <w:kern w:val="21"/>
          <w:sz w:val="32"/>
          <w:szCs w:val="32"/>
        </w:rPr>
        <w:t>将美食文化融入生活</w:t>
      </w:r>
      <w:r>
        <w:rPr>
          <w:rFonts w:hint="eastAsia" w:ascii="Times New Roman" w:hAnsi="Times New Roman" w:cs="Times New Roman"/>
          <w:color w:val="auto"/>
          <w:spacing w:val="0"/>
          <w:kern w:val="21"/>
          <w:sz w:val="32"/>
          <w:szCs w:val="32"/>
          <w:lang w:eastAsia="zh-CN"/>
        </w:rPr>
        <w:t>、</w:t>
      </w:r>
      <w:r>
        <w:rPr>
          <w:rFonts w:hint="default" w:ascii="Times New Roman" w:hAnsi="Times New Roman" w:eastAsia="仿宋_GB2312" w:cs="Times New Roman"/>
          <w:color w:val="auto"/>
          <w:spacing w:val="0"/>
          <w:kern w:val="21"/>
          <w:sz w:val="32"/>
          <w:szCs w:val="32"/>
        </w:rPr>
        <w:t>传播出去。深入挖掘洛房泥塑</w:t>
      </w:r>
      <w:r>
        <w:rPr>
          <w:rFonts w:hint="eastAsia" w:ascii="Times New Roman" w:hAnsi="Times New Roman" w:cs="Times New Roman"/>
          <w:color w:val="auto"/>
          <w:spacing w:val="0"/>
          <w:kern w:val="21"/>
          <w:sz w:val="32"/>
          <w:szCs w:val="32"/>
          <w:lang w:eastAsia="zh-CN"/>
        </w:rPr>
        <w:t>、中陈郝古陶瓷等</w:t>
      </w:r>
      <w:r>
        <w:rPr>
          <w:rFonts w:hint="default" w:ascii="Times New Roman" w:hAnsi="Times New Roman" w:eastAsia="仿宋_GB2312" w:cs="Times New Roman"/>
          <w:color w:val="auto"/>
          <w:spacing w:val="0"/>
          <w:kern w:val="21"/>
          <w:sz w:val="32"/>
          <w:szCs w:val="32"/>
        </w:rPr>
        <w:t>非遗文化，以其为创作源头，设计系列文创产品，在传承传统文化的同时，</w:t>
      </w:r>
      <w:r>
        <w:rPr>
          <w:rFonts w:hint="eastAsia" w:ascii="Times New Roman" w:hAnsi="Times New Roman" w:cs="Times New Roman"/>
          <w:color w:val="auto"/>
          <w:spacing w:val="0"/>
          <w:kern w:val="21"/>
          <w:sz w:val="32"/>
          <w:szCs w:val="32"/>
          <w:lang w:eastAsia="zh-CN"/>
        </w:rPr>
        <w:t>带动经济效益提升。</w:t>
      </w:r>
    </w:p>
    <w:p w14:paraId="797AFE2B">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rPr>
      </w:pPr>
      <w:r>
        <w:rPr>
          <w:rFonts w:hint="eastAsia" w:ascii="楷体_GB2312" w:hAnsi="楷体_GB2312" w:eastAsia="楷体_GB2312" w:cs="楷体_GB2312"/>
          <w:b w:val="0"/>
          <w:bCs w:val="0"/>
          <w:spacing w:val="0"/>
          <w:lang w:val="en-US" w:eastAsia="zh-CN"/>
        </w:rPr>
        <w:t>做强文化产业业态。</w:t>
      </w:r>
      <w:r>
        <w:rPr>
          <w:rFonts w:hint="default" w:ascii="Times New Roman" w:hAnsi="Times New Roman" w:cs="Times New Roman"/>
          <w:spacing w:val="0"/>
          <w:kern w:val="21"/>
          <w:sz w:val="32"/>
          <w:szCs w:val="32"/>
          <w:u w:val="none"/>
          <w:lang w:val="en-US" w:eastAsia="zh-CN"/>
        </w:rPr>
        <w:t>推进铁道游击队景区提质扩容，优化配套业态，提升运营水平，</w:t>
      </w:r>
      <w:r>
        <w:rPr>
          <w:rFonts w:hint="eastAsia" w:ascii="Times New Roman" w:hAnsi="Times New Roman" w:cs="Times New Roman"/>
          <w:spacing w:val="0"/>
          <w:kern w:val="21"/>
          <w:sz w:val="32"/>
          <w:szCs w:val="32"/>
          <w:u w:val="none"/>
          <w:lang w:val="en-US" w:eastAsia="zh-CN"/>
        </w:rPr>
        <w:t>做强</w:t>
      </w:r>
      <w:r>
        <w:rPr>
          <w:rFonts w:hint="default" w:ascii="Times New Roman" w:hAnsi="Times New Roman" w:cs="Times New Roman"/>
          <w:spacing w:val="0"/>
          <w:kern w:val="21"/>
          <w:sz w:val="32"/>
          <w:szCs w:val="32"/>
          <w:u w:val="none"/>
          <w:lang w:val="en-US" w:eastAsia="zh-CN"/>
        </w:rPr>
        <w:t>红色教育品牌</w:t>
      </w:r>
      <w:r>
        <w:rPr>
          <w:rFonts w:hint="eastAsia" w:ascii="Times New Roman" w:hAnsi="Times New Roman" w:cs="Times New Roman"/>
          <w:spacing w:val="0"/>
          <w:kern w:val="21"/>
          <w:sz w:val="32"/>
          <w:szCs w:val="32"/>
          <w:u w:val="none"/>
          <w:lang w:eastAsia="zh-CN"/>
        </w:rPr>
        <w:t>；</w:t>
      </w:r>
      <w:r>
        <w:rPr>
          <w:rFonts w:hint="default" w:ascii="Times New Roman" w:hAnsi="Times New Roman" w:eastAsia="仿宋_GB2312" w:cs="Times New Roman"/>
          <w:spacing w:val="0"/>
          <w:kern w:val="21"/>
          <w:sz w:val="32"/>
          <w:szCs w:val="32"/>
        </w:rPr>
        <w:t>繁荣演艺赛事经济，每年承办省内外大型群众性体育赛事不少于10场</w:t>
      </w:r>
      <w:r>
        <w:rPr>
          <w:rFonts w:hint="eastAsia" w:ascii="Times New Roman" w:hAnsi="Times New Roman" w:cs="Times New Roman"/>
          <w:spacing w:val="0"/>
          <w:kern w:val="21"/>
          <w:sz w:val="32"/>
          <w:szCs w:val="32"/>
          <w:lang w:eastAsia="zh-CN"/>
        </w:rPr>
        <w:t>；</w:t>
      </w:r>
      <w:r>
        <w:rPr>
          <w:rFonts w:hint="default" w:ascii="Times New Roman" w:hAnsi="Times New Roman" w:eastAsia="仿宋_GB2312" w:cs="Times New Roman"/>
          <w:spacing w:val="0"/>
          <w:kern w:val="21"/>
          <w:sz w:val="32"/>
          <w:szCs w:val="32"/>
        </w:rPr>
        <w:t>培育“票根</w:t>
      </w:r>
      <w:r>
        <w:rPr>
          <w:rFonts w:hint="default" w:ascii="Times New Roman" w:hAnsi="Times New Roman" w:cs="Times New Roman"/>
          <w:spacing w:val="0"/>
          <w:kern w:val="21"/>
          <w:sz w:val="32"/>
          <w:szCs w:val="32"/>
          <w:lang w:val="en-US" w:eastAsia="zh-CN"/>
        </w:rPr>
        <w:t>经济</w:t>
      </w:r>
      <w:r>
        <w:rPr>
          <w:rFonts w:hint="default" w:ascii="Times New Roman" w:hAnsi="Times New Roman" w:eastAsia="仿宋_GB2312" w:cs="Times New Roman"/>
          <w:spacing w:val="0"/>
          <w:kern w:val="21"/>
          <w:sz w:val="32"/>
          <w:szCs w:val="32"/>
        </w:rPr>
        <w:t>”，优化“吃住行游购娱”凭票折扣权益，推动“观演”向“旅居”延伸；持续办好</w:t>
      </w:r>
      <w:r>
        <w:rPr>
          <w:rFonts w:hint="default" w:ascii="Times New Roman" w:hAnsi="Times New Roman" w:cs="Times New Roman"/>
          <w:spacing w:val="0"/>
          <w:kern w:val="21"/>
          <w:sz w:val="32"/>
          <w:szCs w:val="32"/>
          <w:lang w:val="en-US" w:eastAsia="zh-CN"/>
        </w:rPr>
        <w:t>音乐节、</w:t>
      </w:r>
      <w:r>
        <w:rPr>
          <w:rFonts w:hint="default" w:ascii="Times New Roman" w:hAnsi="Times New Roman" w:eastAsia="仿宋_GB2312" w:cs="Times New Roman"/>
          <w:spacing w:val="0"/>
          <w:kern w:val="21"/>
          <w:sz w:val="32"/>
          <w:szCs w:val="32"/>
        </w:rPr>
        <w:t>演唱会</w:t>
      </w:r>
      <w:r>
        <w:rPr>
          <w:rFonts w:hint="default" w:ascii="Times New Roman" w:hAnsi="Times New Roman" w:cs="Times New Roman"/>
          <w:spacing w:val="0"/>
          <w:kern w:val="21"/>
          <w:sz w:val="32"/>
          <w:szCs w:val="32"/>
          <w:lang w:val="en-US" w:eastAsia="zh-CN"/>
        </w:rPr>
        <w:t>等活动</w:t>
      </w:r>
      <w:r>
        <w:rPr>
          <w:rFonts w:hint="default" w:ascii="Times New Roman" w:hAnsi="Times New Roman" w:eastAsia="仿宋_GB2312" w:cs="Times New Roman"/>
          <w:spacing w:val="0"/>
          <w:kern w:val="21"/>
          <w:sz w:val="32"/>
          <w:szCs w:val="32"/>
        </w:rPr>
        <w:t>，打造区域性演艺品牌</w:t>
      </w:r>
      <w:r>
        <w:rPr>
          <w:rFonts w:hint="eastAsia" w:ascii="Times New Roman" w:hAnsi="Times New Roman" w:cs="Times New Roman"/>
          <w:spacing w:val="0"/>
          <w:kern w:val="21"/>
          <w:sz w:val="32"/>
          <w:szCs w:val="32"/>
          <w:lang w:eastAsia="zh-CN"/>
        </w:rPr>
        <w:t>；</w:t>
      </w:r>
      <w:r>
        <w:rPr>
          <w:rFonts w:hint="default" w:ascii="Times New Roman" w:hAnsi="Times New Roman" w:eastAsia="仿宋_GB2312" w:cs="Times New Roman"/>
          <w:spacing w:val="0"/>
          <w:kern w:val="21"/>
          <w:sz w:val="32"/>
          <w:szCs w:val="32"/>
        </w:rPr>
        <w:t>深化“文化+科技”融合，支持网络视听、数字文创、虚拟体验等新业态发展，培育数字文化消费新场景。</w:t>
      </w:r>
    </w:p>
    <w:p w14:paraId="67354B4B">
      <w:pPr>
        <w:keepNext w:val="0"/>
        <w:keepLines w:val="0"/>
        <w:pageBreakBefore w:val="0"/>
        <w:widowControl w:val="0"/>
        <w:kinsoku/>
        <w:wordWrap/>
        <w:overflowPunct/>
        <w:topLinePunct w:val="0"/>
        <w:autoSpaceDE/>
        <w:autoSpaceDN/>
        <w:bidi w:val="0"/>
        <w:spacing w:line="580" w:lineRule="exact"/>
        <w:textAlignment w:val="auto"/>
        <w:rPr>
          <w:rFonts w:hint="eastAsia" w:ascii="Times New Roman" w:hAnsi="Times New Roman" w:eastAsia="仿宋_GB2312" w:cs="Times New Roman"/>
          <w:spacing w:val="0"/>
          <w:kern w:val="21"/>
          <w:sz w:val="32"/>
          <w:szCs w:val="32"/>
          <w:lang w:val="en-US" w:eastAsia="zh-CN"/>
        </w:rPr>
      </w:pPr>
      <w:r>
        <w:rPr>
          <w:rFonts w:hint="eastAsia" w:ascii="楷体_GB2312" w:hAnsi="楷体_GB2312" w:eastAsia="楷体_GB2312" w:cs="楷体_GB2312"/>
          <w:b w:val="0"/>
          <w:bCs w:val="0"/>
          <w:spacing w:val="0"/>
          <w:lang w:val="en-US" w:eastAsia="zh-CN"/>
        </w:rPr>
        <w:t>培育骨干文化企业。</w:t>
      </w:r>
      <w:r>
        <w:rPr>
          <w:rFonts w:hint="default" w:ascii="Times New Roman" w:hAnsi="Times New Roman" w:cs="Times New Roman"/>
          <w:spacing w:val="0"/>
          <w:kern w:val="21"/>
          <w:sz w:val="32"/>
          <w:szCs w:val="32"/>
          <w:lang w:val="en-US" w:eastAsia="zh-CN"/>
        </w:rPr>
        <w:t>支持本土</w:t>
      </w:r>
      <w:r>
        <w:rPr>
          <w:rFonts w:hint="default" w:ascii="Times New Roman" w:hAnsi="Times New Roman" w:eastAsia="仿宋_GB2312" w:cs="Times New Roman"/>
          <w:spacing w:val="0"/>
          <w:kern w:val="21"/>
          <w:sz w:val="32"/>
          <w:szCs w:val="32"/>
        </w:rPr>
        <w:t>骨干</w:t>
      </w:r>
      <w:r>
        <w:rPr>
          <w:rFonts w:hint="default" w:ascii="Times New Roman" w:hAnsi="Times New Roman" w:cs="Times New Roman"/>
          <w:spacing w:val="0"/>
          <w:kern w:val="21"/>
          <w:sz w:val="32"/>
          <w:szCs w:val="32"/>
          <w:lang w:val="en-US" w:eastAsia="zh-CN"/>
        </w:rPr>
        <w:t>文化</w:t>
      </w:r>
      <w:r>
        <w:rPr>
          <w:rFonts w:hint="default" w:ascii="Times New Roman" w:hAnsi="Times New Roman" w:eastAsia="仿宋_GB2312" w:cs="Times New Roman"/>
          <w:spacing w:val="0"/>
          <w:kern w:val="21"/>
          <w:sz w:val="32"/>
          <w:szCs w:val="32"/>
        </w:rPr>
        <w:t>企业做大做强，培育一批专精特新文化企业，推动文化产业集群化发展。推进夫宇文商旅综合体建设，打造辐射</w:t>
      </w:r>
      <w:r>
        <w:rPr>
          <w:rFonts w:hint="default" w:ascii="Times New Roman" w:hAnsi="Times New Roman" w:cs="Times New Roman"/>
          <w:spacing w:val="0"/>
          <w:kern w:val="21"/>
          <w:sz w:val="32"/>
          <w:szCs w:val="32"/>
          <w:lang w:eastAsia="zh-CN"/>
        </w:rPr>
        <w:t>鲁南地区</w:t>
      </w:r>
      <w:r>
        <w:rPr>
          <w:rFonts w:hint="default" w:ascii="Times New Roman" w:hAnsi="Times New Roman" w:eastAsia="仿宋_GB2312" w:cs="Times New Roman"/>
          <w:spacing w:val="0"/>
          <w:kern w:val="21"/>
          <w:sz w:val="32"/>
          <w:szCs w:val="32"/>
        </w:rPr>
        <w:t>的沉浸式文旅消费新场景；</w:t>
      </w:r>
      <w:r>
        <w:rPr>
          <w:rFonts w:hint="default" w:ascii="Times New Roman" w:hAnsi="Times New Roman" w:cs="Times New Roman"/>
          <w:spacing w:val="0"/>
          <w:kern w:val="21"/>
          <w:sz w:val="32"/>
          <w:szCs w:val="32"/>
          <w:lang w:eastAsia="zh-CN"/>
        </w:rPr>
        <w:t>支持天穹文化突破传统产业空间束缚，为城区居民提供优质的公共文化服务；</w:t>
      </w:r>
      <w:r>
        <w:rPr>
          <w:rFonts w:hint="default" w:ascii="Times New Roman" w:hAnsi="Times New Roman" w:eastAsia="仿宋_GB2312" w:cs="Times New Roman"/>
          <w:spacing w:val="0"/>
          <w:kern w:val="21"/>
          <w:sz w:val="32"/>
          <w:szCs w:val="32"/>
        </w:rPr>
        <w:t>依托临山老街城市更新，优化业态布局，集聚文化体验、特色商贸等业态，打造省级旅游休闲街区</w:t>
      </w:r>
      <w:r>
        <w:rPr>
          <w:rFonts w:hint="default" w:ascii="Times New Roman" w:hAnsi="Times New Roman" w:cs="Times New Roman"/>
          <w:spacing w:val="0"/>
          <w:kern w:val="21"/>
          <w:sz w:val="32"/>
          <w:szCs w:val="32"/>
          <w:lang w:eastAsia="zh-CN"/>
        </w:rPr>
        <w:t>。</w:t>
      </w:r>
    </w:p>
    <w:p w14:paraId="0BF2F7DD">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66" w:name="_Toc1999147100"/>
      <w:r>
        <w:rPr>
          <w:rFonts w:hint="eastAsia" w:ascii="楷体_GB2312" w:hAnsi="楷体_GB2312" w:eastAsia="楷体_GB2312" w:cs="楷体_GB2312"/>
          <w:kern w:val="21"/>
          <w:sz w:val="32"/>
          <w:szCs w:val="32"/>
          <w:highlight w:val="none"/>
          <w:lang w:val="en-US" w:eastAsia="zh-CN"/>
        </w:rPr>
        <w:t>第四节  推进文旅深度融合</w:t>
      </w:r>
      <w:bookmarkEnd w:id="66"/>
    </w:p>
    <w:p w14:paraId="47A4C17D">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rPr>
      </w:pPr>
      <w:r>
        <w:rPr>
          <w:rFonts w:hint="eastAsia" w:ascii="Times New Roman" w:hAnsi="Times New Roman" w:cs="Times New Roman"/>
          <w:spacing w:val="0"/>
          <w:kern w:val="21"/>
          <w:sz w:val="32"/>
          <w:szCs w:val="32"/>
          <w:lang w:eastAsia="zh-CN"/>
        </w:rPr>
        <w:t>坚持</w:t>
      </w:r>
      <w:r>
        <w:rPr>
          <w:rFonts w:hint="default" w:ascii="Times New Roman" w:hAnsi="Times New Roman" w:eastAsia="仿宋_GB2312" w:cs="Times New Roman"/>
          <w:spacing w:val="0"/>
          <w:kern w:val="21"/>
          <w:sz w:val="32"/>
          <w:szCs w:val="32"/>
        </w:rPr>
        <w:t>文化赋能、旅游带动，推动文化旅游与产业、生态、</w:t>
      </w:r>
      <w:r>
        <w:rPr>
          <w:rFonts w:hint="default" w:ascii="Times New Roman" w:hAnsi="Times New Roman" w:eastAsia="仿宋_GB2312" w:cs="Times New Roman"/>
          <w:spacing w:val="-6"/>
          <w:kern w:val="21"/>
          <w:sz w:val="32"/>
          <w:szCs w:val="32"/>
        </w:rPr>
        <w:t>城乡建设深度融合，构建城乡联动、全域覆盖的文旅发展新格局。</w:t>
      </w:r>
    </w:p>
    <w:p w14:paraId="362BDA29">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楷体_GB2312" w:cs="Times New Roman"/>
          <w:b w:val="0"/>
          <w:bCs w:val="0"/>
          <w:spacing w:val="0"/>
          <w:lang w:val="en-US" w:eastAsia="zh-CN"/>
        </w:rPr>
        <w:t>打造特色文旅IP矩阵。</w:t>
      </w:r>
      <w:r>
        <w:rPr>
          <w:rFonts w:hint="default" w:ascii="Times New Roman" w:hAnsi="Times New Roman" w:eastAsia="仿宋_GB2312" w:cs="Times New Roman"/>
          <w:spacing w:val="0"/>
          <w:kern w:val="21"/>
          <w:sz w:val="32"/>
          <w:szCs w:val="32"/>
        </w:rPr>
        <w:t>做强红色文旅品牌，持续提升铁道游击队红色体验基地运营水平，打造全国知名红色旅游目的地。培育乡村文旅品牌，串联辖区内</w:t>
      </w:r>
      <w:r>
        <w:rPr>
          <w:rFonts w:hint="default" w:ascii="Times New Roman" w:hAnsi="Times New Roman" w:cs="Times New Roman"/>
          <w:spacing w:val="0"/>
          <w:kern w:val="21"/>
          <w:sz w:val="32"/>
          <w:szCs w:val="32"/>
          <w:lang w:val="en-US" w:eastAsia="zh-CN"/>
        </w:rPr>
        <w:t>乡村文旅</w:t>
      </w:r>
      <w:r>
        <w:rPr>
          <w:rFonts w:hint="default" w:ascii="Times New Roman" w:hAnsi="Times New Roman" w:eastAsia="仿宋_GB2312" w:cs="Times New Roman"/>
          <w:spacing w:val="0"/>
          <w:kern w:val="21"/>
          <w:sz w:val="32"/>
          <w:szCs w:val="32"/>
        </w:rPr>
        <w:t>资源，整合农耕体验、乡村民宿、红色研学等元素，打造“生态休闲+农耕采摘”“红色教育+乡村旅居”精品线路。提质生态文旅品牌，依托</w:t>
      </w:r>
      <w:r>
        <w:rPr>
          <w:rFonts w:hint="default" w:ascii="Times New Roman" w:hAnsi="Times New Roman" w:cs="Times New Roman"/>
          <w:spacing w:val="0"/>
          <w:kern w:val="21"/>
          <w:sz w:val="32"/>
          <w:szCs w:val="32"/>
          <w:lang w:val="en-US" w:eastAsia="zh-CN"/>
        </w:rPr>
        <w:t>关键</w:t>
      </w:r>
      <w:r>
        <w:rPr>
          <w:rFonts w:hint="default" w:ascii="Times New Roman" w:hAnsi="Times New Roman" w:eastAsia="仿宋_GB2312" w:cs="Times New Roman"/>
          <w:spacing w:val="0"/>
          <w:kern w:val="21"/>
          <w:sz w:val="32"/>
          <w:szCs w:val="32"/>
        </w:rPr>
        <w:t>生态节点，完善休闲步道、观景平台等设施，</w:t>
      </w:r>
      <w:r>
        <w:rPr>
          <w:rFonts w:hint="default" w:ascii="Times New Roman" w:hAnsi="Times New Roman" w:cs="Times New Roman"/>
          <w:spacing w:val="0"/>
          <w:kern w:val="21"/>
          <w:sz w:val="32"/>
          <w:szCs w:val="32"/>
          <w:lang w:val="en-US" w:eastAsia="zh-CN"/>
        </w:rPr>
        <w:t>因地制宜</w:t>
      </w:r>
      <w:r>
        <w:rPr>
          <w:rFonts w:hint="default" w:ascii="Times New Roman" w:hAnsi="Times New Roman" w:eastAsia="仿宋_GB2312" w:cs="Times New Roman"/>
          <w:spacing w:val="0"/>
          <w:kern w:val="21"/>
          <w:sz w:val="32"/>
          <w:szCs w:val="32"/>
        </w:rPr>
        <w:t>打造集生态观光、滨水休闲、运动健身于一体的滨水文旅廊道。</w:t>
      </w:r>
    </w:p>
    <w:p w14:paraId="5B1D5392">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rPr>
      </w:pPr>
      <w:r>
        <w:rPr>
          <w:rFonts w:hint="eastAsia" w:ascii="楷体_GB2312" w:hAnsi="楷体_GB2312" w:eastAsia="楷体_GB2312" w:cs="楷体_GB2312"/>
          <w:b w:val="0"/>
          <w:bCs w:val="0"/>
          <w:spacing w:val="0"/>
          <w:lang w:val="en-US" w:eastAsia="zh-CN"/>
        </w:rPr>
        <w:t>丰富文旅融合业态。</w:t>
      </w:r>
      <w:r>
        <w:rPr>
          <w:rFonts w:hint="default" w:ascii="Times New Roman" w:hAnsi="Times New Roman" w:eastAsia="仿宋_GB2312" w:cs="Times New Roman"/>
          <w:spacing w:val="0"/>
          <w:kern w:val="21"/>
          <w:sz w:val="32"/>
          <w:szCs w:val="32"/>
        </w:rPr>
        <w:t>培育新兴文旅业态，依托枣庄低空经济动力谷，开发航模赛事、低空研学等产品，</w:t>
      </w:r>
      <w:r>
        <w:rPr>
          <w:rFonts w:hint="eastAsia" w:ascii="Times New Roman" w:hAnsi="Times New Roman" w:cs="Times New Roman"/>
          <w:spacing w:val="0"/>
          <w:kern w:val="21"/>
          <w:sz w:val="32"/>
          <w:szCs w:val="32"/>
          <w:lang w:eastAsia="zh-CN"/>
        </w:rPr>
        <w:t>探索低空飞行观光，</w:t>
      </w:r>
      <w:r>
        <w:rPr>
          <w:rFonts w:hint="default" w:ascii="Times New Roman" w:hAnsi="Times New Roman" w:eastAsia="仿宋_GB2312" w:cs="Times New Roman"/>
          <w:spacing w:val="0"/>
          <w:kern w:val="21"/>
          <w:sz w:val="32"/>
          <w:szCs w:val="32"/>
        </w:rPr>
        <w:t>打造低空文旅特色名片。推动传统业态升级，深化红色旅游、乡村旅游、生态旅游提质增效，延伸“吃住行游购娱”全产业链条。推进文旅商深度融合，以</w:t>
      </w:r>
      <w:r>
        <w:rPr>
          <w:rFonts w:hint="default" w:ascii="Times New Roman" w:hAnsi="Times New Roman" w:cs="Times New Roman"/>
          <w:spacing w:val="0"/>
          <w:kern w:val="21"/>
          <w:sz w:val="32"/>
          <w:szCs w:val="32"/>
          <w:lang w:val="en-US" w:eastAsia="zh-CN"/>
        </w:rPr>
        <w:t>实施</w:t>
      </w:r>
      <w:r>
        <w:rPr>
          <w:rFonts w:hint="default" w:ascii="Times New Roman" w:hAnsi="Times New Roman" w:eastAsia="仿宋_GB2312" w:cs="Times New Roman"/>
          <w:spacing w:val="0"/>
          <w:kern w:val="21"/>
          <w:sz w:val="32"/>
          <w:szCs w:val="32"/>
        </w:rPr>
        <w:t>临城老街城市更新</w:t>
      </w:r>
      <w:r>
        <w:rPr>
          <w:rFonts w:hint="default" w:ascii="Times New Roman" w:hAnsi="Times New Roman" w:cs="Times New Roman"/>
          <w:spacing w:val="0"/>
          <w:kern w:val="21"/>
          <w:sz w:val="32"/>
          <w:szCs w:val="32"/>
          <w:lang w:val="en-US" w:eastAsia="zh-CN"/>
        </w:rPr>
        <w:t>等项目</w:t>
      </w:r>
      <w:r>
        <w:rPr>
          <w:rFonts w:hint="default" w:ascii="Times New Roman" w:hAnsi="Times New Roman" w:eastAsia="仿宋_GB2312" w:cs="Times New Roman"/>
          <w:spacing w:val="0"/>
          <w:kern w:val="21"/>
          <w:sz w:val="32"/>
          <w:szCs w:val="32"/>
        </w:rPr>
        <w:t>为契机，优化业态布局，集聚特色餐饮、非遗手造、文创零售等业态，整合铁道游击队景区资源，打造彰显红色文化特色的省级旅游休闲街区。</w:t>
      </w:r>
    </w:p>
    <w:p w14:paraId="0158697A">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rPr>
      </w:pPr>
      <w:r>
        <w:rPr>
          <w:rFonts w:hint="eastAsia" w:ascii="楷体_GB2312" w:hAnsi="楷体_GB2312" w:eastAsia="楷体_GB2312" w:cs="楷体_GB2312"/>
          <w:b w:val="0"/>
          <w:bCs w:val="0"/>
          <w:spacing w:val="0"/>
          <w:lang w:val="en-US" w:eastAsia="zh-CN"/>
        </w:rPr>
        <w:t>优化文旅发展环境。</w:t>
      </w:r>
      <w:r>
        <w:rPr>
          <w:rFonts w:hint="default" w:ascii="Times New Roman" w:hAnsi="Times New Roman" w:eastAsia="仿宋_GB2312" w:cs="Times New Roman"/>
          <w:spacing w:val="0"/>
          <w:kern w:val="21"/>
          <w:sz w:val="32"/>
          <w:szCs w:val="32"/>
        </w:rPr>
        <w:t>完善基础设施配套，加快智慧停车场、旅游厕所建设，优化景区交通接驳线路，推进智慧导览系统全覆盖；提升住宿餐饮品质，培育一批特色民宿、主题酒店和地方风味餐馆，满足不同层次消费需求。加强文旅市场监管，健全常态化监管机制，规范旅游市场秩序；强化从业人员培训，提升服务礼仪、应急处置等专业能力，打造“放心文旅在薛城”服务品牌。深化区域文旅联动，</w:t>
      </w:r>
      <w:r>
        <w:rPr>
          <w:rFonts w:hint="eastAsia" w:ascii="Times New Roman" w:hAnsi="Times New Roman" w:cs="Times New Roman"/>
          <w:spacing w:val="0"/>
          <w:kern w:val="21"/>
          <w:sz w:val="32"/>
          <w:szCs w:val="32"/>
          <w:lang w:eastAsia="zh-CN"/>
        </w:rPr>
        <w:t>加强</w:t>
      </w:r>
      <w:r>
        <w:rPr>
          <w:rFonts w:hint="default" w:ascii="Times New Roman" w:hAnsi="Times New Roman" w:eastAsia="仿宋_GB2312" w:cs="Times New Roman"/>
          <w:spacing w:val="0"/>
          <w:kern w:val="21"/>
          <w:sz w:val="32"/>
          <w:szCs w:val="32"/>
        </w:rPr>
        <w:t>鲁南经济圈文旅合作，联合开发跨区域精品线路，共享客源市场、宣传渠道和品牌资源。</w:t>
      </w:r>
    </w:p>
    <w:p w14:paraId="7B021F9A">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67" w:name="_Toc1036843694"/>
      <w:r>
        <w:rPr>
          <w:rFonts w:hint="eastAsia" w:ascii="楷体_GB2312" w:hAnsi="楷体_GB2312" w:eastAsia="楷体_GB2312" w:cs="楷体_GB2312"/>
          <w:kern w:val="21"/>
          <w:sz w:val="32"/>
          <w:szCs w:val="32"/>
          <w:highlight w:val="none"/>
          <w:lang w:val="en-US" w:eastAsia="zh-CN"/>
        </w:rPr>
        <w:t>第五节  提升文化交流传播力影响力</w:t>
      </w:r>
      <w:bookmarkEnd w:id="67"/>
    </w:p>
    <w:p w14:paraId="3628C6C3">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统筹文化遗产保护与传承，</w:t>
      </w:r>
      <w:r>
        <w:rPr>
          <w:rFonts w:hint="default" w:ascii="Times New Roman" w:hAnsi="Times New Roman" w:cs="Times New Roman"/>
          <w:spacing w:val="0"/>
          <w:kern w:val="21"/>
          <w:sz w:val="32"/>
          <w:szCs w:val="32"/>
          <w:lang w:eastAsia="zh-CN"/>
        </w:rPr>
        <w:t>积极</w:t>
      </w:r>
      <w:r>
        <w:rPr>
          <w:rFonts w:hint="default" w:ascii="Times New Roman" w:hAnsi="Times New Roman" w:eastAsia="仿宋_GB2312" w:cs="Times New Roman"/>
          <w:spacing w:val="0"/>
          <w:kern w:val="21"/>
          <w:sz w:val="32"/>
          <w:szCs w:val="32"/>
        </w:rPr>
        <w:t>拓展文化传播渠道，深化文化交流合作，持续提升薛城文化的辨识度、知名度与影响力。</w:t>
      </w:r>
    </w:p>
    <w:p w14:paraId="3776BDE9">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rPr>
      </w:pPr>
      <w:r>
        <w:rPr>
          <w:rFonts w:hint="eastAsia" w:ascii="楷体_GB2312" w:hAnsi="楷体_GB2312" w:eastAsia="楷体_GB2312" w:cs="楷体_GB2312"/>
          <w:b w:val="0"/>
          <w:bCs w:val="0"/>
          <w:spacing w:val="0"/>
          <w:lang w:val="en-US" w:eastAsia="zh-CN"/>
        </w:rPr>
        <w:t>强化本土文化传播。</w:t>
      </w:r>
      <w:r>
        <w:rPr>
          <w:rFonts w:hint="default" w:ascii="Times New Roman" w:hAnsi="Times New Roman" w:eastAsia="仿宋_GB2312" w:cs="Times New Roman"/>
          <w:spacing w:val="0"/>
          <w:kern w:val="21"/>
          <w:sz w:val="32"/>
          <w:szCs w:val="32"/>
        </w:rPr>
        <w:t>构建“报台网端微屏”全媒体传播矩阵，整合主流媒体与新媒体平台资源，专题宣传薛城文化建设成果、重点文旅项目和特色文化资源，深度挖掘红色故事、历史典故、非遗技艺等内容，推出系列短视频、专题报道、文化纪录片，讲好薛城文化故事。推动文化元素全方位融入城市建设，在公园绿地、道路节点、市政设施、商业街区中植入奚仲造车、铁道游击队红色文化、石榴文化等特色元素，通过雕塑小品、主题景观、文化标识等形式，让城市成为文化传播的鲜活载体，增强市民文化认同感与城市文化辨识度。</w:t>
      </w:r>
    </w:p>
    <w:p w14:paraId="57A535E7">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spacing w:val="0"/>
          <w:kern w:val="21"/>
          <w:sz w:val="32"/>
          <w:szCs w:val="32"/>
        </w:rPr>
      </w:pPr>
      <w:r>
        <w:rPr>
          <w:rFonts w:hint="eastAsia" w:ascii="楷体_GB2312" w:hAnsi="楷体_GB2312" w:eastAsia="楷体_GB2312" w:cs="楷体_GB2312"/>
          <w:b w:val="0"/>
          <w:bCs w:val="0"/>
          <w:spacing w:val="0"/>
          <w:lang w:val="en-US" w:eastAsia="zh-CN"/>
        </w:rPr>
        <w:t>拓展对外文化交流。</w:t>
      </w:r>
      <w:r>
        <w:rPr>
          <w:rFonts w:hint="default" w:ascii="Times New Roman" w:hAnsi="Times New Roman" w:eastAsia="仿宋_GB2312" w:cs="Times New Roman"/>
          <w:spacing w:val="0"/>
          <w:kern w:val="21"/>
          <w:sz w:val="32"/>
          <w:szCs w:val="32"/>
        </w:rPr>
        <w:t>主动融入鲁南经济圈</w:t>
      </w:r>
      <w:r>
        <w:rPr>
          <w:rFonts w:hint="default" w:ascii="Times New Roman" w:hAnsi="Times New Roman" w:cs="Times New Roman"/>
          <w:spacing w:val="0"/>
          <w:kern w:val="21"/>
          <w:sz w:val="32"/>
          <w:szCs w:val="32"/>
          <w:lang w:val="en-US" w:eastAsia="zh-CN"/>
        </w:rPr>
        <w:t>等</w:t>
      </w:r>
      <w:r>
        <w:rPr>
          <w:rFonts w:hint="default" w:ascii="Times New Roman" w:hAnsi="Times New Roman" w:eastAsia="仿宋_GB2312" w:cs="Times New Roman"/>
          <w:spacing w:val="0"/>
          <w:kern w:val="21"/>
          <w:sz w:val="32"/>
          <w:szCs w:val="32"/>
        </w:rPr>
        <w:t>文旅协同发展格局，深化产业协作与文化交流。组织本地文化企业、非遗项目参加国内外文旅展会、文化推介会、非遗博览会等活动，重点推动薛城石榴制品、陶瓷工艺品等非遗手造和文化产品“走出去”，拓展对外展示与合作空间。深化与友好地区、文旅发达城市的交流合作，互办文化活动、共享文化资源，学习先进经验，拓宽文化发展视野。</w:t>
      </w:r>
    </w:p>
    <w:p w14:paraId="2480C1C7">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spacing w:val="0"/>
          <w:kern w:val="21"/>
          <w:sz w:val="32"/>
          <w:szCs w:val="32"/>
          <w:lang w:eastAsia="zh-CN"/>
        </w:rPr>
      </w:pPr>
      <w:r>
        <w:rPr>
          <w:rFonts w:hint="eastAsia" w:ascii="楷体_GB2312" w:hAnsi="楷体_GB2312" w:eastAsia="楷体_GB2312" w:cs="楷体_GB2312"/>
          <w:b w:val="0"/>
          <w:bCs w:val="0"/>
          <w:spacing w:val="0"/>
          <w:lang w:val="en-US" w:eastAsia="zh-CN"/>
        </w:rPr>
        <w:t>擦亮薛城文化品牌。</w:t>
      </w:r>
      <w:r>
        <w:rPr>
          <w:rFonts w:hint="default" w:ascii="Times New Roman" w:hAnsi="Times New Roman" w:eastAsia="仿宋_GB2312" w:cs="Times New Roman"/>
          <w:spacing w:val="0"/>
          <w:kern w:val="21"/>
          <w:sz w:val="32"/>
          <w:szCs w:val="32"/>
        </w:rPr>
        <w:t>整合红色文化、历史文化、生态文化等核心资源，打造“薛城文旅”统一品牌形象，设计专属品牌标识与宣传口号，形成覆盖宣传推广、产品开发、服务规范的品牌体系。强化品牌整合营销，借助重大赛事、演艺活动、节庆展会等契机，开展集中宣传推介，提升品牌在苏鲁豫皖四省的影响力。深化“山东手造・薛城尚品”建设，支持非遗技艺与现代设计、市场需求相结合，开发系列文创产品、生活用品，培育一批具有市场竞争力的文化品牌</w:t>
      </w:r>
      <w:r>
        <w:rPr>
          <w:rFonts w:hint="default" w:ascii="Times New Roman" w:hAnsi="Times New Roman" w:cs="Times New Roman"/>
          <w:spacing w:val="0"/>
          <w:kern w:val="21"/>
          <w:sz w:val="32"/>
          <w:szCs w:val="32"/>
          <w:lang w:eastAsia="zh-CN"/>
        </w:rPr>
        <w:t>。</w:t>
      </w:r>
    </w:p>
    <w:p w14:paraId="7CEE1FAA">
      <w:pPr>
        <w:pStyle w:val="18"/>
        <w:rPr>
          <w:rFonts w:hint="default"/>
          <w:lang w:eastAsia="zh-CN"/>
        </w:rPr>
      </w:pPr>
    </w:p>
    <w:tbl>
      <w:tblPr>
        <w:tblStyle w:val="1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7"/>
      </w:tblGrid>
      <w:tr w14:paraId="347C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blHeader/>
          <w:jc w:val="center"/>
        </w:trPr>
        <w:tc>
          <w:tcPr>
            <w:tcW w:w="8497" w:type="dxa"/>
            <w:noWrap w:val="0"/>
            <w:vAlign w:val="center"/>
          </w:tcPr>
          <w:p w14:paraId="535D6022">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00" w:lineRule="exact"/>
              <w:ind w:left="0" w:right="0" w:firstLine="0" w:firstLineChars="0"/>
              <w:jc w:val="center"/>
              <w:textAlignment w:val="auto"/>
              <w:rPr>
                <w:rFonts w:hint="default" w:ascii="Times New Roman" w:hAnsi="Times New Roman" w:eastAsia="黑体" w:cs="Times New Roman"/>
                <w:b w:val="0"/>
                <w:bCs w:val="0"/>
                <w:spacing w:val="0"/>
                <w:kern w:val="21"/>
                <w:sz w:val="28"/>
                <w:szCs w:val="28"/>
              </w:rPr>
            </w:pPr>
            <w:r>
              <w:rPr>
                <w:rFonts w:hint="default" w:ascii="Times New Roman" w:hAnsi="Times New Roman" w:eastAsia="黑体" w:cs="Times New Roman"/>
                <w:b w:val="0"/>
                <w:bCs w:val="0"/>
                <w:spacing w:val="0"/>
                <w:kern w:val="21"/>
                <w:sz w:val="28"/>
                <w:szCs w:val="28"/>
                <w:highlight w:val="none"/>
              </w:rPr>
              <w:t>专栏</w:t>
            </w:r>
            <w:r>
              <w:rPr>
                <w:rFonts w:hint="default" w:ascii="Times New Roman" w:hAnsi="Times New Roman" w:eastAsia="黑体" w:cs="Times New Roman"/>
                <w:b w:val="0"/>
                <w:bCs w:val="0"/>
                <w:spacing w:val="0"/>
                <w:kern w:val="21"/>
                <w:sz w:val="28"/>
                <w:szCs w:val="28"/>
                <w:highlight w:val="none"/>
                <w:lang w:val="en-US" w:eastAsia="zh-CN"/>
              </w:rPr>
              <w:t>7</w:t>
            </w:r>
            <w:r>
              <w:rPr>
                <w:rFonts w:hint="default" w:ascii="Times New Roman" w:hAnsi="Times New Roman" w:eastAsia="黑体" w:cs="Times New Roman"/>
                <w:b w:val="0"/>
                <w:bCs w:val="0"/>
                <w:spacing w:val="0"/>
                <w:kern w:val="21"/>
                <w:sz w:val="28"/>
                <w:szCs w:val="28"/>
              </w:rPr>
              <w:t>：</w:t>
            </w:r>
            <w:r>
              <w:rPr>
                <w:rFonts w:hint="default" w:ascii="Times New Roman" w:hAnsi="Times New Roman" w:eastAsia="黑体" w:cs="Times New Roman"/>
                <w:b w:val="0"/>
                <w:bCs w:val="0"/>
                <w:spacing w:val="0"/>
                <w:kern w:val="21"/>
                <w:sz w:val="28"/>
                <w:szCs w:val="28"/>
                <w:lang w:val="en-US" w:eastAsia="zh-CN"/>
              </w:rPr>
              <w:t>文化和旅游高质量发展</w:t>
            </w:r>
            <w:r>
              <w:rPr>
                <w:rFonts w:hint="default" w:ascii="Times New Roman" w:hAnsi="Times New Roman" w:eastAsia="黑体" w:cs="Times New Roman"/>
                <w:b w:val="0"/>
                <w:bCs w:val="0"/>
                <w:spacing w:val="0"/>
                <w:kern w:val="21"/>
                <w:sz w:val="28"/>
                <w:szCs w:val="28"/>
              </w:rPr>
              <w:t>重点项目</w:t>
            </w:r>
          </w:p>
        </w:tc>
      </w:tr>
      <w:tr w14:paraId="1967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8497" w:type="dxa"/>
            <w:noWrap w:val="0"/>
            <w:vAlign w:val="center"/>
          </w:tcPr>
          <w:p w14:paraId="6039DEBB">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1夫宇文商旅融合区域IP项目</w:t>
            </w:r>
          </w:p>
          <w:p w14:paraId="3EE6C268">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2.山东出版文化广场项目</w:t>
            </w:r>
          </w:p>
          <w:p w14:paraId="2F361BBC">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eastAsia" w:ascii="Times New Roman" w:hAnsi="Times New Roman" w:cs="Times New Roman"/>
                <w:b w:val="0"/>
                <w:bCs w:val="0"/>
                <w:spacing w:val="0"/>
                <w:kern w:val="21"/>
                <w:sz w:val="28"/>
                <w:szCs w:val="28"/>
                <w:lang w:val="en-US" w:eastAsia="zh-CN"/>
              </w:rPr>
              <w:t>3</w:t>
            </w:r>
            <w:r>
              <w:rPr>
                <w:rFonts w:hint="default" w:ascii="Times New Roman" w:hAnsi="Times New Roman" w:cs="Times New Roman"/>
                <w:b w:val="0"/>
                <w:bCs w:val="0"/>
                <w:spacing w:val="0"/>
                <w:kern w:val="21"/>
                <w:sz w:val="28"/>
                <w:szCs w:val="28"/>
                <w:lang w:val="en-US" w:eastAsia="zh-CN"/>
              </w:rPr>
              <w:t>.青啤1903活力街区</w:t>
            </w:r>
          </w:p>
        </w:tc>
      </w:tr>
    </w:tbl>
    <w:p w14:paraId="59AE3EC3">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0" w:firstLineChars="0"/>
        <w:jc w:val="center"/>
        <w:textAlignment w:val="auto"/>
        <w:outlineLvl w:val="0"/>
        <w:rPr>
          <w:rFonts w:hint="eastAsia" w:ascii="黑体" w:hAnsi="黑体" w:eastAsia="黑体" w:cs="黑体"/>
          <w:b w:val="0"/>
          <w:bCs/>
          <w:kern w:val="21"/>
          <w:sz w:val="32"/>
          <w:szCs w:val="32"/>
          <w:lang w:val="en-US" w:eastAsia="zh-CN"/>
        </w:rPr>
      </w:pPr>
    </w:p>
    <w:p w14:paraId="5FB0B0A0">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0" w:firstLineChars="0"/>
        <w:jc w:val="center"/>
        <w:textAlignment w:val="auto"/>
        <w:outlineLvl w:val="0"/>
        <w:rPr>
          <w:rFonts w:hint="eastAsia" w:ascii="黑体" w:hAnsi="黑体" w:eastAsia="黑体" w:cs="黑体"/>
          <w:b w:val="0"/>
          <w:bCs/>
          <w:kern w:val="21"/>
          <w:sz w:val="32"/>
          <w:szCs w:val="32"/>
          <w:lang w:val="en-US" w:eastAsia="zh-CN"/>
        </w:rPr>
      </w:pPr>
      <w:bookmarkStart w:id="68" w:name="_Toc1562799342"/>
      <w:r>
        <w:rPr>
          <w:rFonts w:hint="eastAsia" w:ascii="黑体" w:hAnsi="黑体" w:eastAsia="黑体" w:cs="黑体"/>
          <w:b w:val="0"/>
          <w:bCs/>
          <w:kern w:val="21"/>
          <w:sz w:val="32"/>
          <w:szCs w:val="32"/>
          <w:lang w:val="en-US" w:eastAsia="zh-CN"/>
        </w:rPr>
        <w:t>第十一章  增进民生福祉，让人民共享高品质生活</w:t>
      </w:r>
      <w:bookmarkEnd w:id="68"/>
    </w:p>
    <w:p w14:paraId="4A7A6486">
      <w:pPr>
        <w:keepNext w:val="0"/>
        <w:keepLines w:val="0"/>
        <w:pageBreakBefore w:val="0"/>
        <w:widowControl w:val="0"/>
        <w:kinsoku/>
        <w:wordWrap/>
        <w:overflowPunct/>
        <w:topLinePunct w:val="0"/>
        <w:autoSpaceDE/>
        <w:autoSpaceDN/>
        <w:bidi w:val="0"/>
        <w:adjustRightInd w:val="0"/>
        <w:snapToGrid w:val="0"/>
        <w:spacing w:before="313" w:beforeLines="100"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树牢以人民为中心的发展思想，坚持尽力而为、量力而行，加强普惠性、基础性、兜底性民生建设，着力解决好人民群众急难愁盼问题，提高人民生活品质，让发展成果更多更公平惠及全体人民。</w:t>
      </w:r>
    </w:p>
    <w:p w14:paraId="7439742A">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69" w:name="_Toc1737931539"/>
      <w:r>
        <w:rPr>
          <w:rFonts w:hint="eastAsia" w:ascii="楷体_GB2312" w:hAnsi="楷体_GB2312" w:eastAsia="楷体_GB2312" w:cs="楷体_GB2312"/>
          <w:kern w:val="21"/>
          <w:sz w:val="32"/>
          <w:szCs w:val="32"/>
          <w:highlight w:val="none"/>
          <w:lang w:val="en-US" w:eastAsia="zh-CN"/>
        </w:rPr>
        <w:t>第一节  促进居民就业增收</w:t>
      </w:r>
      <w:bookmarkEnd w:id="69"/>
    </w:p>
    <w:p w14:paraId="722078C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深入实施就业优先战略和城乡居民增收计划，减负、稳岗、扩就业多措并举，多渠道增加居民收入，促进就业质的有效提升和量的合理增长。</w:t>
      </w:r>
    </w:p>
    <w:p w14:paraId="58EED56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加强重点群体就业支撑。</w:t>
      </w:r>
      <w:r>
        <w:rPr>
          <w:rFonts w:hint="default" w:ascii="Times New Roman" w:hAnsi="Times New Roman" w:cs="Times New Roman"/>
          <w:bCs/>
          <w:sz w:val="32"/>
          <w:szCs w:val="32"/>
          <w:lang w:val="en-US" w:eastAsia="zh-CN"/>
        </w:rPr>
        <w:t>完善就业支持和公共服务体系，稳定和扩大高校毕业生、农民工、退役军人等重点群体就业，促进脱贫人口、残疾人等稳岗就业。深化“榴枣归乡”工程，通过“企业进校园”“线上招聘会”等形式，为高校毕业生提供就业指导、岗位对接、创业扶持一体化服务，鼓励留薛回薛就业创业。完善失业人员闭环服务，确保零就业家庭动态清零。落实退役军人专项招聘、创业补贴等政策，搭建就业创业服务平台；健全残疾人就业保障机制，扶持自主创业，实现权益全覆盖。</w:t>
      </w:r>
    </w:p>
    <w:p w14:paraId="48C982B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完善就业公共服务体系。</w:t>
      </w:r>
      <w:r>
        <w:rPr>
          <w:rFonts w:hint="default" w:ascii="Times New Roman" w:hAnsi="Times New Roman" w:cs="Times New Roman"/>
          <w:bCs/>
          <w:sz w:val="32"/>
          <w:szCs w:val="32"/>
          <w:lang w:val="en-US" w:eastAsia="zh-CN"/>
        </w:rPr>
        <w:t>推进就业服务数字化转型，升级线上平台，实现岗位精准推送、业务线上办理。深化人力资源市场建设，规范人力资源服务机构运营，培育专业化服务企业，提供多元化用工服务。紧扣主导产业需求，开设特色课程，培育“奚仲工匠”队伍。联合龙头企业、职业院校共建实训基地，提升劳动者岗位适配能力。健全终身职业技能培训制度，推广“学历证书+职业技能证书”模式，持续开展补贴性技能培训。完善劳动合同制度，有序推行电子劳动合同，推动集体协商集中要约活动，提高劳动合同和集体合同履行质量。严厉打击侵害劳动者权益违法行为，加强欠薪源头治理，维护劳动者合法权益。</w:t>
      </w:r>
    </w:p>
    <w:p w14:paraId="0168CDE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优化创业带动就业生态。</w:t>
      </w:r>
      <w:r>
        <w:rPr>
          <w:rFonts w:hint="default" w:ascii="Times New Roman" w:hAnsi="Times New Roman" w:cs="Times New Roman"/>
          <w:bCs/>
          <w:sz w:val="32"/>
          <w:szCs w:val="32"/>
          <w:lang w:val="en-US" w:eastAsia="zh-CN"/>
        </w:rPr>
        <w:t>积极培育新职业新岗位，支持各类经营主体稳岗扩岗。落实创业补贴、创业担保贷款政策，支持高校毕业生、返乡农民工等群体发展乡村旅游、电商服务等特色项目。搭建项目展示交流平台，挖掘培育优质创业项目。组建创业导师团，为初创企业提供运营指导，降低创业风险，以创业带动就业扩容。</w:t>
      </w:r>
    </w:p>
    <w:p w14:paraId="1B1A184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eastAsia="楷体_GB2312" w:cs="Times New Roman"/>
          <w:bCs/>
          <w:sz w:val="32"/>
          <w:szCs w:val="32"/>
          <w:lang w:val="en-US" w:eastAsia="zh-CN"/>
        </w:rPr>
        <w:t>促进城乡居民持续稳定增收。</w:t>
      </w:r>
      <w:r>
        <w:rPr>
          <w:rFonts w:hint="default" w:ascii="Times New Roman" w:hAnsi="Times New Roman" w:cs="Times New Roman"/>
          <w:bCs/>
          <w:sz w:val="32"/>
          <w:szCs w:val="32"/>
          <w:lang w:val="en-US" w:eastAsia="zh-CN"/>
        </w:rPr>
        <w:t>实施城乡居民增收计划，推动中低收入群体增收减负，稳步扩大中等收入群体规模。健全完善职工权益保障机制，稳妥推行工资集体协商，强化企业民主管理，持续推进解困脱困，大力实施普惠服务，切实维护职工群众合法权益。支持勤劳创新合法致富，鼓励先富带后富促共富。多渠道增加城乡居民财产性收入，加强税收、社会保障等再分配调节。促进和规范公益慈善事业发展，加强慈善组织培育，完善慈善帮扶机制，加快构建政府引导、社会参与、群众受益的多元化慈善工作格局。</w:t>
      </w:r>
    </w:p>
    <w:p w14:paraId="42BFC0E8">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70" w:name="_Toc780956872"/>
      <w:r>
        <w:rPr>
          <w:rFonts w:hint="eastAsia" w:ascii="楷体_GB2312" w:hAnsi="楷体_GB2312" w:eastAsia="楷体_GB2312" w:cs="楷体_GB2312"/>
          <w:kern w:val="21"/>
          <w:sz w:val="32"/>
          <w:szCs w:val="32"/>
          <w:highlight w:val="none"/>
          <w:lang w:val="en-US" w:eastAsia="zh-CN"/>
        </w:rPr>
        <w:t>第二节  办好人民满意教育</w:t>
      </w:r>
      <w:bookmarkEnd w:id="70"/>
    </w:p>
    <w:p w14:paraId="6C2E3B8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紧扣建设教育强区目标，推动教育扩优提质，构建全生命周期教育服务体系，让教育发展成果更加公平均衡、优质普惠。</w:t>
      </w:r>
    </w:p>
    <w:p w14:paraId="2122EAA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推动基础教育优质均衡发展。</w:t>
      </w:r>
      <w:r>
        <w:rPr>
          <w:rFonts w:hint="default" w:ascii="Times New Roman" w:hAnsi="Times New Roman" w:cs="Times New Roman"/>
          <w:bCs/>
          <w:sz w:val="32"/>
          <w:szCs w:val="32"/>
          <w:lang w:val="en-US" w:eastAsia="zh-CN"/>
        </w:rPr>
        <w:t>优化城乡教育资源布局，结合人口变化趋势，科学做好中小学、幼儿园规划布局，建成启用第三实验学校（含附属幼儿园）、临山中学、和谐路小学、长江路小学，巩固学前教育普惠率，保障适龄儿童就近入园入学。深化义务教育集团化办学、联盟化发展，推动城区优质学校与乡村学校、薄弱学校结对帮扶，促进师资、课程、管理等资源共享，缩小校际、城乡教育差距。</w:t>
      </w:r>
      <w:r>
        <w:rPr>
          <w:rFonts w:hint="default" w:ascii="Times New Roman" w:hAnsi="Times New Roman" w:eastAsia="仿宋_GB2312" w:cs="Times New Roman"/>
          <w:b w:val="0"/>
          <w:bCs w:val="0"/>
          <w:color w:val="auto"/>
          <w:sz w:val="32"/>
          <w:szCs w:val="40"/>
          <w:lang w:val="en-US" w:eastAsia="zh-CN"/>
        </w:rPr>
        <w:t>支持枣庄八中、枣庄五中特色化发展，做强舜耕实验民办学校品牌，巩固薛城教育优势</w:t>
      </w:r>
      <w:r>
        <w:rPr>
          <w:rFonts w:hint="default" w:ascii="Times New Roman" w:hAnsi="Times New Roman" w:cs="Times New Roman"/>
          <w:b w:val="0"/>
          <w:bCs w:val="0"/>
          <w:color w:val="auto"/>
          <w:sz w:val="32"/>
          <w:szCs w:val="40"/>
          <w:lang w:val="en-US" w:eastAsia="zh-CN"/>
        </w:rPr>
        <w:t>。</w:t>
      </w:r>
      <w:r>
        <w:rPr>
          <w:rFonts w:hint="default" w:ascii="Times New Roman" w:hAnsi="Times New Roman" w:cs="Times New Roman"/>
          <w:bCs w:val="0"/>
          <w:color w:val="auto"/>
          <w:sz w:val="32"/>
          <w:szCs w:val="32"/>
          <w:lang w:val="en-US" w:eastAsia="zh-CN"/>
        </w:rPr>
        <w:t>加强特</w:t>
      </w:r>
      <w:r>
        <w:rPr>
          <w:rFonts w:hint="default" w:ascii="Times New Roman" w:hAnsi="Times New Roman" w:cs="Times New Roman"/>
          <w:bCs/>
          <w:sz w:val="32"/>
          <w:szCs w:val="32"/>
          <w:lang w:val="en-US" w:eastAsia="zh-CN"/>
        </w:rPr>
        <w:t>殊教育保障，完善特殊教育学校办学条件，推进融合教育，确保适龄残疾儿童少年义务教育入学率保持100%。落实“双减”政策，提升课堂教学质量，规范校外培训管理，健全家校社协同育人机制，促进学生德智体美劳全面发展。2028年前，完成全国县域义务教育优质均衡发展县创建工作。</w:t>
      </w:r>
    </w:p>
    <w:p w14:paraId="7E671FB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深化职业教育产教融合。</w:t>
      </w:r>
      <w:r>
        <w:rPr>
          <w:rFonts w:hint="default" w:ascii="Times New Roman" w:hAnsi="Times New Roman" w:cs="Times New Roman"/>
          <w:bCs/>
          <w:sz w:val="32"/>
          <w:szCs w:val="32"/>
          <w:lang w:val="en-US" w:eastAsia="zh-CN"/>
        </w:rPr>
        <w:t>对接现代化产业体系需求，优化职业院校专业布局，重点建设高端装备、新能源、低空经济、现代服务等特色专业群，升级区属职业（技工）院校实训基地。推进枣庄理工学校二期扩建工程，全力保障枣庄技师学院、山东煤炭卫校迁址、枣矿技术学院移交后的教学活动有序开展。深化职普融通改革，完善职教高考制度，拓宽技能人才成长通道。</w:t>
      </w:r>
      <w:r>
        <w:rPr>
          <w:rFonts w:hint="default" w:ascii="Times New Roman" w:hAnsi="Times New Roman" w:eastAsia="仿宋_GB2312" w:cs="Times New Roman"/>
          <w:b w:val="0"/>
          <w:bCs w:val="0"/>
          <w:color w:val="auto"/>
          <w:sz w:val="32"/>
          <w:szCs w:val="40"/>
          <w:lang w:val="en-US" w:eastAsia="zh-CN"/>
        </w:rPr>
        <w:t>积极推动职业院校与全国知名专业高校合作，实施“职教进疆”“职教出海”战略，发展“教培经济”，扩大薛城职教的影响力。</w:t>
      </w:r>
      <w:r>
        <w:rPr>
          <w:rFonts w:hint="default" w:ascii="Times New Roman" w:hAnsi="Times New Roman" w:cs="Times New Roman"/>
          <w:bCs w:val="0"/>
          <w:color w:val="auto"/>
          <w:sz w:val="32"/>
          <w:szCs w:val="32"/>
          <w:lang w:val="en-US" w:eastAsia="zh-CN"/>
        </w:rPr>
        <w:t>支持</w:t>
      </w:r>
      <w:r>
        <w:rPr>
          <w:rFonts w:hint="default" w:ascii="Times New Roman" w:hAnsi="Times New Roman" w:cs="Times New Roman"/>
          <w:bCs/>
          <w:sz w:val="32"/>
          <w:szCs w:val="32"/>
          <w:lang w:val="en-US" w:eastAsia="zh-CN"/>
        </w:rPr>
        <w:t>职业院校参与企业技术研发、工艺改进，开展职工技能培训，推动职业教育从“办学”向“办产业”转型。</w:t>
      </w:r>
    </w:p>
    <w:p w14:paraId="3CB3C6D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促进高等教育协同发展。</w:t>
      </w:r>
      <w:r>
        <w:rPr>
          <w:rFonts w:hint="default" w:ascii="Times New Roman" w:hAnsi="Times New Roman" w:cs="Times New Roman"/>
          <w:bCs/>
          <w:sz w:val="32"/>
          <w:szCs w:val="32"/>
          <w:lang w:val="en-US" w:eastAsia="zh-CN"/>
        </w:rPr>
        <w:t>深化与枣庄学院、枣庄职业学院等驻薛高校协同合作，推动高校学科专业与薛城产业需求深度衔接，支持高校在</w:t>
      </w:r>
      <w:r>
        <w:rPr>
          <w:rFonts w:hint="eastAsia" w:ascii="Times New Roman" w:hAnsi="Times New Roman" w:cs="Times New Roman"/>
          <w:kern w:val="21"/>
          <w:sz w:val="32"/>
          <w:szCs w:val="32"/>
          <w:lang w:val="en-US" w:eastAsia="zh-CN"/>
        </w:rPr>
        <w:t>化工新材料</w:t>
      </w:r>
      <w:r>
        <w:rPr>
          <w:rFonts w:hint="default" w:ascii="Times New Roman" w:hAnsi="Times New Roman" w:cs="Times New Roman"/>
          <w:bCs/>
          <w:sz w:val="32"/>
          <w:szCs w:val="32"/>
          <w:lang w:val="en-US" w:eastAsia="zh-CN"/>
        </w:rPr>
        <w:t>、高端装备、新能源、低空经济等领域设立研发平台、开展定向攻关，促进科技成果本地转化。支持高校参与城市建设和公共服务，共建研学实践基地、创新创业平台，实现校地资源共享、优势互补。优化高校周边配套环境，完善产学研合作机制，吸引高校毕业生留薛、回薛就业创业，发挥高校人才集聚和创新引领作用。</w:t>
      </w:r>
    </w:p>
    <w:p w14:paraId="5946BEA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推进教育领域改革创新。</w:t>
      </w:r>
      <w:r>
        <w:rPr>
          <w:rFonts w:hint="default" w:ascii="Times New Roman" w:hAnsi="Times New Roman" w:cs="Times New Roman"/>
          <w:bCs/>
          <w:sz w:val="32"/>
          <w:szCs w:val="32"/>
          <w:lang w:val="en-US" w:eastAsia="zh-CN"/>
        </w:rPr>
        <w:t>加快教育数字化转型，建设智慧校园、数字教育资源平台，推广线上线下混合教学模式，促进优质教育资源城乡全覆盖。深化教育评价改革，破除“唯分数、唯升学”导向，建立以立德树人为根本、以综合素质为核心的多元评价体系。落实“五育并举”，加强青少年理想信念教育、体育美育和劳动教育，强化心理健康服务，健全学生健康监测与干预机制。规范民办教育发展，引导民办学校特色化、优质化办学，形成公办民办教育协同发展格局。</w:t>
      </w:r>
    </w:p>
    <w:p w14:paraId="64DBFAC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加强高素质教师队伍建设。</w:t>
      </w:r>
      <w:r>
        <w:rPr>
          <w:rFonts w:hint="default" w:ascii="Times New Roman" w:hAnsi="Times New Roman" w:cs="Times New Roman"/>
          <w:bCs/>
          <w:sz w:val="32"/>
          <w:szCs w:val="32"/>
          <w:lang w:val="en-US" w:eastAsia="zh-CN"/>
        </w:rPr>
        <w:t>系统实施“三名工程”（名师、名班主任、名校长），强化师德师风建设，培育高素质专业化教师队伍。完善教师招聘、培养、激励机制，优化教师资源配置，</w:t>
      </w:r>
      <w:r>
        <w:rPr>
          <w:rFonts w:hint="default" w:ascii="Times New Roman" w:hAnsi="Times New Roman" w:eastAsia="仿宋_GB2312" w:cs="Times New Roman"/>
          <w:b w:val="0"/>
          <w:bCs w:val="0"/>
          <w:color w:val="auto"/>
          <w:sz w:val="32"/>
          <w:szCs w:val="40"/>
          <w:lang w:val="en-US" w:eastAsia="zh-CN"/>
        </w:rPr>
        <w:t>形成结构优化、城乡均衡发展的梯队</w:t>
      </w:r>
      <w:r>
        <w:rPr>
          <w:rFonts w:hint="default" w:ascii="Times New Roman" w:hAnsi="Times New Roman" w:cs="Times New Roman"/>
          <w:bCs w:val="0"/>
          <w:color w:val="auto"/>
          <w:sz w:val="32"/>
          <w:szCs w:val="32"/>
          <w:lang w:val="en-US" w:eastAsia="zh-CN"/>
        </w:rPr>
        <w:t>。</w:t>
      </w:r>
      <w:r>
        <w:rPr>
          <w:rFonts w:hint="default" w:ascii="Times New Roman" w:hAnsi="Times New Roman" w:cs="Times New Roman"/>
          <w:bCs/>
          <w:sz w:val="32"/>
          <w:szCs w:val="32"/>
          <w:lang w:val="en-US" w:eastAsia="zh-CN"/>
        </w:rPr>
        <w:t>健全教师待遇保障机制，弘扬教育家精神，营造尊师重教浓厚氛围，让教师安心从教、潜心育人。</w:t>
      </w:r>
    </w:p>
    <w:p w14:paraId="1B488F50">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71" w:name="_Toc290386886"/>
      <w:r>
        <w:rPr>
          <w:rFonts w:hint="eastAsia" w:ascii="楷体_GB2312" w:hAnsi="楷体_GB2312" w:eastAsia="楷体_GB2312" w:cs="楷体_GB2312"/>
          <w:kern w:val="21"/>
          <w:sz w:val="32"/>
          <w:szCs w:val="32"/>
          <w:highlight w:val="none"/>
          <w:lang w:val="en-US" w:eastAsia="zh-CN"/>
        </w:rPr>
        <w:t>第三节  健全多层次社会保障体系</w:t>
      </w:r>
      <w:bookmarkEnd w:id="71"/>
    </w:p>
    <w:p w14:paraId="3353CE3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准确把握人民群众多层次多样化保障需求，健全覆盖全民、统筹城乡、公平统一、可持续的多层次社会保障体系，织密扎牢民生保障安全网。</w:t>
      </w:r>
    </w:p>
    <w:p w14:paraId="4679A76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 w:val="0"/>
          <w:bCs/>
          <w:sz w:val="32"/>
          <w:szCs w:val="32"/>
          <w:lang w:val="en-US" w:eastAsia="zh-CN"/>
        </w:rPr>
      </w:pPr>
      <w:r>
        <w:rPr>
          <w:rFonts w:hint="eastAsia" w:ascii="楷体_GB2312" w:hAnsi="楷体_GB2312" w:eastAsia="楷体_GB2312" w:cs="楷体_GB2312"/>
          <w:b w:val="0"/>
          <w:bCs/>
          <w:sz w:val="32"/>
          <w:szCs w:val="32"/>
          <w:lang w:val="en-US" w:eastAsia="zh-CN"/>
        </w:rPr>
        <w:t>扩大社会保障覆盖范围。</w:t>
      </w:r>
      <w:r>
        <w:rPr>
          <w:rFonts w:hint="default" w:ascii="Times New Roman" w:hAnsi="Times New Roman" w:cs="Times New Roman"/>
          <w:b w:val="0"/>
          <w:bCs/>
          <w:sz w:val="32"/>
          <w:szCs w:val="32"/>
          <w:lang w:val="en-US" w:eastAsia="zh-CN"/>
        </w:rPr>
        <w:t>聚焦灵活就业人员、新业态从业者、农民工、残疾人等重点群体，实施社保扩面专项行动。落实灵活就业人员社保补贴政策，优化参保流程，降低参保门槛，引导外卖骑手、网约车司机等新业态从业者主动参保。健全社保关系转移接续机制，保障跨地区、跨业态就业人员社保权益连续衔接，避免断保、漏保问题。深化城乡居民养老保险、医疗保险精准扩面，加强政策宣传引导，提高群众参保知晓率与积极性，实现社会保障全覆盖、无死角。</w:t>
      </w:r>
    </w:p>
    <w:p w14:paraId="1AB3843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 w:val="0"/>
          <w:bCs/>
          <w:sz w:val="32"/>
          <w:szCs w:val="32"/>
          <w:lang w:val="en-US" w:eastAsia="zh-CN"/>
        </w:rPr>
      </w:pPr>
      <w:r>
        <w:rPr>
          <w:rFonts w:hint="eastAsia" w:ascii="楷体_GB2312" w:hAnsi="楷体_GB2312" w:eastAsia="楷体_GB2312" w:cs="楷体_GB2312"/>
          <w:b w:val="0"/>
          <w:bCs/>
          <w:sz w:val="32"/>
          <w:szCs w:val="32"/>
          <w:lang w:val="en-US" w:eastAsia="zh-CN"/>
        </w:rPr>
        <w:t>优化社会保障待遇水平。</w:t>
      </w:r>
      <w:r>
        <w:rPr>
          <w:rFonts w:hint="default" w:ascii="Times New Roman" w:hAnsi="Times New Roman" w:cs="Times New Roman"/>
          <w:b w:val="0"/>
          <w:bCs/>
          <w:sz w:val="32"/>
          <w:szCs w:val="32"/>
          <w:lang w:val="en-US" w:eastAsia="zh-CN"/>
        </w:rPr>
        <w:t>落实社保待遇与经济社会发展水平相挂钩的动态调整机制，稳步提高企业和机关事业单位退休人员基本养老金，适度提升城乡居民基础养老金标准。落实城乡居民医疗保险报销政策，提高门诊和住院报销比例，扩大药品和诊疗项目报销范围，减轻群众医疗负担。健全社会救助体系，适时提高城乡低保、特困人员供养标准，完善临时救助“先行救助+事后补办”机制，对遭遇突发困难的群众做到“应救尽救”。深化长期护理保险试点，完善护理服务供给体系。</w:t>
      </w:r>
    </w:p>
    <w:p w14:paraId="4669AC8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 w:val="0"/>
          <w:bCs/>
          <w:sz w:val="32"/>
          <w:szCs w:val="32"/>
          <w:lang w:val="en-US" w:eastAsia="zh-CN"/>
        </w:rPr>
      </w:pPr>
      <w:r>
        <w:rPr>
          <w:rFonts w:hint="eastAsia" w:ascii="楷体_GB2312" w:hAnsi="楷体_GB2312" w:eastAsia="楷体_GB2312" w:cs="楷体_GB2312"/>
          <w:b w:val="0"/>
          <w:bCs/>
          <w:sz w:val="32"/>
          <w:szCs w:val="32"/>
          <w:lang w:val="en-US" w:eastAsia="zh-CN"/>
        </w:rPr>
        <w:t>完善社会救助体系。</w:t>
      </w:r>
      <w:r>
        <w:rPr>
          <w:rFonts w:hint="default" w:ascii="Times New Roman" w:hAnsi="Times New Roman" w:cs="Times New Roman"/>
          <w:b w:val="0"/>
          <w:bCs/>
          <w:sz w:val="32"/>
          <w:szCs w:val="32"/>
          <w:lang w:val="en-US" w:eastAsia="zh-CN"/>
        </w:rPr>
        <w:t>构建分层分类的社会救助体系，用好省级“数字民政”平台，实现风险早发现、早干预。优化低保对象、特困人员认定流程，推行“线上申请+线下核查”模式，提高救助精准度。健全临时救助制度，在镇（街）建立临时救助备用金制度，简化审批流程，解决群众急难愁盼。完善慈善事业发展机制，引导社会力量参与公益救助，形成“政府主导、社会参与、慈善补充”的救助格局。加强儿童福利保障，健全困境儿童、留守儿童关爱服务体系，提升孤儿、事实无人抚养儿童保障水平。</w:t>
      </w:r>
    </w:p>
    <w:p w14:paraId="0AE028F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 w:val="0"/>
          <w:bCs/>
          <w:sz w:val="32"/>
          <w:szCs w:val="32"/>
          <w:lang w:val="en-US" w:eastAsia="zh-CN"/>
        </w:rPr>
      </w:pPr>
      <w:r>
        <w:rPr>
          <w:rFonts w:hint="eastAsia" w:ascii="楷体_GB2312" w:hAnsi="楷体_GB2312" w:eastAsia="楷体_GB2312" w:cs="楷体_GB2312"/>
          <w:b w:val="0"/>
          <w:bCs/>
          <w:sz w:val="32"/>
          <w:szCs w:val="32"/>
          <w:lang w:val="en-US" w:eastAsia="zh-CN"/>
        </w:rPr>
        <w:t>强化特殊群体权益保障。</w:t>
      </w:r>
      <w:r>
        <w:rPr>
          <w:rFonts w:hint="default" w:ascii="Times New Roman" w:hAnsi="Times New Roman" w:cs="Times New Roman"/>
          <w:b w:val="0"/>
          <w:bCs/>
          <w:sz w:val="32"/>
          <w:szCs w:val="32"/>
          <w:lang w:val="en-US" w:eastAsia="zh-CN"/>
        </w:rPr>
        <w:t>落实残疾人两项补贴政策，完善残疾人就业扶持、康复服务、无障碍改造等保障措施，推动残疾人事业全面发展。加强退役军人服务保障，健全退役军人安置、就业创业扶持、优抚优待等机制，妥善安置退役军人，维护军人军属合法权益。保障妇女儿童合法权益，完善生育支持、妇女就业增收、儿童福利保障等政策，推进妇女儿童发展纲要落地见效。</w:t>
      </w:r>
    </w:p>
    <w:p w14:paraId="363AA21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 w:val="0"/>
          <w:bCs/>
          <w:sz w:val="32"/>
          <w:szCs w:val="32"/>
          <w:lang w:val="en-US" w:eastAsia="zh-CN"/>
        </w:rPr>
      </w:pPr>
      <w:r>
        <w:rPr>
          <w:rFonts w:hint="eastAsia" w:ascii="楷体_GB2312" w:hAnsi="楷体_GB2312" w:eastAsia="楷体_GB2312" w:cs="楷体_GB2312"/>
          <w:b w:val="0"/>
          <w:bCs/>
          <w:sz w:val="32"/>
          <w:szCs w:val="32"/>
          <w:lang w:val="en-US" w:eastAsia="zh-CN"/>
        </w:rPr>
        <w:t>提升社保服务质效。</w:t>
      </w:r>
      <w:r>
        <w:rPr>
          <w:rFonts w:hint="default" w:ascii="Times New Roman" w:hAnsi="Times New Roman" w:cs="Times New Roman"/>
          <w:b w:val="0"/>
          <w:bCs/>
          <w:sz w:val="32"/>
          <w:szCs w:val="32"/>
          <w:lang w:val="en-US" w:eastAsia="zh-CN"/>
        </w:rPr>
        <w:t>推进社保服务数字化转型，优化线上服务平台功能，实现社保参保、缴费、查询、待遇申领等高频事项“全程网办”“掌上办”。健全社保经办服务网络，完善区、镇（街）、村（社区）三级经办服务体系，推动社保服务向基层延伸。优化社保经办流程，推行“一窗受理、集成服务”，减少办事环节、压缩办理时限。加强社保基金监管，健全基金风险防控机制，严厉打击欺诈骗保等违法违规行为，确保基金安全规范运行。</w:t>
      </w:r>
    </w:p>
    <w:p w14:paraId="166A2295">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72" w:name="_Toc559425697"/>
      <w:r>
        <w:rPr>
          <w:rFonts w:hint="eastAsia" w:ascii="楷体_GB2312" w:hAnsi="楷体_GB2312" w:eastAsia="楷体_GB2312" w:cs="楷体_GB2312"/>
          <w:kern w:val="21"/>
          <w:sz w:val="32"/>
          <w:szCs w:val="32"/>
          <w:highlight w:val="none"/>
          <w:lang w:val="en-US" w:eastAsia="zh-CN"/>
        </w:rPr>
        <w:t>第四节  完善住房供给保障体系</w:t>
      </w:r>
      <w:bookmarkEnd w:id="72"/>
    </w:p>
    <w:p w14:paraId="7C82893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以满足群众住房需求为核心，以提升住房品质为导向，统筹房地产市场调控与住房保障供给，推动房地产行业与城市发展、民生改善深度融合。</w:t>
      </w:r>
    </w:p>
    <w:p w14:paraId="40E5351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扩大保障性住房精准供给。</w:t>
      </w:r>
      <w:r>
        <w:rPr>
          <w:rFonts w:hint="default" w:ascii="Times New Roman" w:hAnsi="Times New Roman" w:cs="Times New Roman"/>
          <w:bCs/>
          <w:sz w:val="32"/>
          <w:szCs w:val="32"/>
          <w:lang w:val="en-US" w:eastAsia="zh-CN"/>
        </w:rPr>
        <w:t>聚焦新市民、青年人、城镇工薪群体及住房困难家庭等重点对象，构建多渠道、多层次的保障性住房供给体系。重点推进保障性租赁住房建设，结合城市更新、产业园区配套等需求，合理布局建设地块，优化户型设计，满足基本居住需求。完善保障性住房分配、准入与退出机制，依托政务服务平台实现申请、审核、分配全流程线上办理，确保保障资源公平高效利用。加强保障性住房后续管理，健全物业服务、设施维护等配套机制，提升居住舒适度与便捷度，切实增强保障对象居住获得感。</w:t>
      </w:r>
    </w:p>
    <w:p w14:paraId="085E6D5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eastAsia="楷体_GB2312" w:cs="Times New Roman"/>
          <w:bCs/>
          <w:sz w:val="32"/>
          <w:szCs w:val="32"/>
          <w:lang w:val="en-US" w:eastAsia="zh-CN"/>
        </w:rPr>
        <w:t>推进“好房子”建设提质升级</w:t>
      </w:r>
      <w:r>
        <w:rPr>
          <w:rFonts w:hint="eastAsia" w:ascii="楷体_GB2312" w:hAnsi="楷体_GB2312" w:eastAsia="楷体_GB2312" w:cs="楷体_GB2312"/>
          <w:bCs/>
          <w:sz w:val="32"/>
          <w:szCs w:val="32"/>
          <w:lang w:val="en-US" w:eastAsia="zh-CN"/>
        </w:rPr>
        <w:t>。</w:t>
      </w:r>
      <w:r>
        <w:rPr>
          <w:rFonts w:hint="default" w:ascii="Times New Roman" w:hAnsi="Times New Roman" w:cs="Times New Roman"/>
          <w:bCs/>
          <w:sz w:val="32"/>
          <w:szCs w:val="32"/>
          <w:lang w:val="en-US" w:eastAsia="zh-CN"/>
        </w:rPr>
        <w:t>实施住宅品质提升行动，推动新建商品住宅向绿色化、智能化、低碳化转型。推广绿色建筑标准，提升建筑节能与环保水平。完善住宅配套功能，推动光纤入户、千兆宽带、5G网络全覆盖，推广智能安防、智慧物业、新能源充电等设施，打造安全便捷、智能高效的居住环境。加强住宅工程质量监管，落实工程质量终身责任制，强化施工全过程质量管控与竣工验收管理，杜绝质量安全隐患。开展物业服务质量提升专项行动，健全物业服务标准体系，培育专业化物业服务企业，推动物业服务向智慧化、精细化、多元化升级，拓展社区养老、托育、家政等增值服务，提升居住服务品质。</w:t>
      </w:r>
    </w:p>
    <w:p w14:paraId="217F6D20">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default" w:ascii="Times New Roman" w:hAnsi="Times New Roman" w:eastAsia="楷体_GB2312" w:cs="Times New Roman"/>
          <w:kern w:val="21"/>
          <w:sz w:val="32"/>
          <w:szCs w:val="32"/>
          <w:highlight w:val="none"/>
          <w:lang w:val="en-US" w:eastAsia="zh-CN"/>
        </w:rPr>
      </w:pPr>
      <w:bookmarkStart w:id="73" w:name="_Toc21580655"/>
      <w:r>
        <w:rPr>
          <w:rFonts w:hint="default" w:ascii="Times New Roman" w:hAnsi="Times New Roman" w:eastAsia="楷体_GB2312" w:cs="Times New Roman"/>
          <w:kern w:val="21"/>
          <w:sz w:val="32"/>
          <w:szCs w:val="32"/>
          <w:highlight w:val="none"/>
          <w:lang w:val="en-US" w:eastAsia="zh-CN"/>
        </w:rPr>
        <w:t>第五节  加快建设“健康薛城”</w:t>
      </w:r>
      <w:bookmarkEnd w:id="73"/>
    </w:p>
    <w:p w14:paraId="2410079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牢固树立大卫生、大健康理念，优化医疗卫生资源配置，全面提升医疗卫生服务水平，为人民群众提供覆盖全生命周期、满足多层次需求的健康服务。</w:t>
      </w:r>
    </w:p>
    <w:p w14:paraId="543B53A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提质扩容医疗资源供给。</w:t>
      </w:r>
      <w:r>
        <w:rPr>
          <w:rFonts w:hint="default" w:ascii="Times New Roman" w:hAnsi="Times New Roman" w:cs="Times New Roman"/>
          <w:bCs/>
          <w:sz w:val="32"/>
          <w:szCs w:val="32"/>
          <w:lang w:val="en-US" w:eastAsia="zh-CN"/>
        </w:rPr>
        <w:t>优化医疗资源布局，支持区人民医院引进专业人才和先进技术，提升疑难病症诊疗和专科医疗服务能力，重点加强心血管、肿瘤、急危重症等特色专科建设，创建区域现代化高水平医院。深化与市级三甲医院合作，建立医联体、专科联盟，通过专家下沉坐诊、远程会诊等方式，让群众就近享受优质医疗服务。加强医疗设备更新与技术引进，推广微创治疗、精准医疗等先进技术，提升医疗服务水平。</w:t>
      </w:r>
    </w:p>
    <w:p w14:paraId="6BB6B79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强化基层医疗卫生能力。</w:t>
      </w:r>
      <w:r>
        <w:rPr>
          <w:rFonts w:hint="default" w:ascii="Times New Roman" w:hAnsi="Times New Roman" w:cs="Times New Roman"/>
          <w:bCs/>
          <w:sz w:val="32"/>
          <w:szCs w:val="32"/>
          <w:lang w:val="en-US" w:eastAsia="zh-CN"/>
        </w:rPr>
        <w:t>健全医疗、医保、医药协同发展和治理机制，促进分级诊疗。以公益性为导向，深化公立医院编制、服务价格、薪酬制度、综合监管改革，加强区级和基层医疗机构运行保障。</w:t>
      </w:r>
      <w:r>
        <w:rPr>
          <w:rFonts w:hint="default" w:ascii="Times New Roman" w:hAnsi="Times New Roman" w:cs="Times New Roman"/>
          <w:b w:val="0"/>
          <w:bCs/>
          <w:sz w:val="32"/>
          <w:szCs w:val="32"/>
          <w:lang w:val="en-US" w:eastAsia="zh-CN"/>
        </w:rPr>
        <w:t>实施“两院一体”医养结合三年提升行动，到2028年年底建成机构7家左右，实现全区所有镇卫生院（社区卫生服务中心）医养结合服务全覆盖。</w:t>
      </w:r>
      <w:r>
        <w:rPr>
          <w:rFonts w:hint="default" w:ascii="Times New Roman" w:hAnsi="Times New Roman" w:cs="Times New Roman"/>
          <w:bCs/>
          <w:sz w:val="32"/>
          <w:szCs w:val="32"/>
          <w:lang w:val="en-US" w:eastAsia="zh-CN"/>
        </w:rPr>
        <w:t>提升家庭医生签约服务质效，建立连续、综合、规范的健康服务闭环，重点覆盖老年人、慢性病患者、孕产妇等重点人群。加强基层卫生人才队伍建设，通过“定向培养、在岗培训、城乡交流”等方式，全面提升基层医务人员常见病、多发病诊疗能力。优化基层医疗服务网络布局，推进智慧医疗向基层延伸，实现远程诊断、检查检验结果互认，提升基层诊疗便捷度。</w:t>
      </w:r>
    </w:p>
    <w:p w14:paraId="614CA8A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推进中医药传承创新。</w:t>
      </w:r>
      <w:r>
        <w:rPr>
          <w:rFonts w:hint="default" w:ascii="Times New Roman" w:hAnsi="Times New Roman" w:cs="Times New Roman"/>
          <w:bCs/>
          <w:sz w:val="32"/>
          <w:szCs w:val="32"/>
          <w:lang w:val="en-US" w:eastAsia="zh-CN"/>
        </w:rPr>
        <w:t>深化中医药传承创新发展，助力国家区域医疗中心建设，建成运营市中医医院西院。加强中医药特色专科建设，培育针灸、康复等优势专科，推广中医药适宜技术，提升基层中医药服务覆盖面。建强中医药人才队伍，开展基层医务人员中医药知识技能培训，培育一批中医药骨干人才。弘扬中医药传统文化，推动“百味千膳进万家”活动常态化，提升公民中医药健康文化素养。推广“医养结合+中医药”模式，将中医药融入养老、康复、保健等领域，丰富健康服务供给。</w:t>
      </w:r>
    </w:p>
    <w:p w14:paraId="33077C0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深化全民健康服务。</w:t>
      </w:r>
      <w:r>
        <w:rPr>
          <w:rFonts w:hint="default" w:ascii="Times New Roman" w:hAnsi="Times New Roman" w:cs="Times New Roman"/>
          <w:bCs/>
          <w:sz w:val="32"/>
          <w:szCs w:val="32"/>
          <w:lang w:val="en-US" w:eastAsia="zh-CN"/>
        </w:rPr>
        <w:t>实施健康优先发展战略，提升爱国卫生运动成效，提高人均预期寿命和人民健康水平。广泛开展健康知识普及活动，通过健康讲座、新媒体宣传等形式，普及健康生活方式、疾病预防等知识。创建健康社区、健康校园、健康企业等示范载体，营造健康环境。完善全民健身公共服务体系，建设体育公园、健身步道等设施，组织各类群众性体育赛事活动，引导群众养成科学健身习惯。</w:t>
      </w:r>
      <w:r>
        <w:rPr>
          <w:rFonts w:hint="default" w:ascii="Times New Roman" w:hAnsi="Times New Roman" w:eastAsia="仿宋_GB2312" w:cs="Times New Roman"/>
          <w:b w:val="0"/>
          <w:bCs w:val="0"/>
          <w:color w:val="auto"/>
          <w:sz w:val="32"/>
          <w:szCs w:val="40"/>
          <w:lang w:val="en-US" w:eastAsia="zh-CN"/>
        </w:rPr>
        <w:t>大力发展“赛事经济”，积极推动体育消费和体育产业发展</w:t>
      </w:r>
      <w:r>
        <w:rPr>
          <w:rFonts w:hint="default" w:ascii="Times New Roman" w:hAnsi="Times New Roman" w:cs="Times New Roman"/>
          <w:b w:val="0"/>
          <w:bCs w:val="0"/>
          <w:color w:val="auto"/>
          <w:sz w:val="32"/>
          <w:szCs w:val="40"/>
          <w:lang w:val="en-US" w:eastAsia="zh-CN"/>
        </w:rPr>
        <w:t>。</w:t>
      </w:r>
      <w:r>
        <w:rPr>
          <w:rFonts w:hint="default" w:ascii="Times New Roman" w:hAnsi="Times New Roman" w:cs="Times New Roman"/>
          <w:bCs/>
          <w:sz w:val="32"/>
          <w:szCs w:val="32"/>
          <w:lang w:val="en-US" w:eastAsia="zh-CN"/>
        </w:rPr>
        <w:t>推动医疗卫生与养老、文旅等产业融合，培育健康养老、健康旅游等新业态，满足群众多元化健康需求。</w:t>
      </w:r>
    </w:p>
    <w:p w14:paraId="6BA647B6">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74" w:name="_Toc1442675298"/>
      <w:r>
        <w:rPr>
          <w:rFonts w:hint="eastAsia" w:ascii="楷体_GB2312" w:hAnsi="楷体_GB2312" w:eastAsia="楷体_GB2312" w:cs="楷体_GB2312"/>
          <w:kern w:val="21"/>
          <w:sz w:val="32"/>
          <w:szCs w:val="32"/>
          <w:highlight w:val="none"/>
          <w:lang w:val="en-US" w:eastAsia="zh-CN"/>
        </w:rPr>
        <w:t>第六节  促进人口高质量发展</w:t>
      </w:r>
      <w:bookmarkEnd w:id="74"/>
    </w:p>
    <w:p w14:paraId="0F9CDFD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落实积极生育支持政策，健全养老服务保障体系，加快建设生育友好型、青年友好型、老年友好型社会，促进人口长期均衡发展。</w:t>
      </w:r>
    </w:p>
    <w:p w14:paraId="4477CA1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构建生育友好型社会环境。</w:t>
      </w:r>
      <w:r>
        <w:rPr>
          <w:rFonts w:hint="default" w:ascii="Times New Roman" w:hAnsi="Times New Roman" w:cs="Times New Roman"/>
          <w:bCs/>
          <w:sz w:val="32"/>
          <w:szCs w:val="32"/>
          <w:lang w:val="en-US" w:eastAsia="zh-CN"/>
        </w:rPr>
        <w:t>落实生育支持政策，完善生育配套保障体系，全方位降低生育、养育、教育成本。健全生育补贴制度，落实对符合政策生育家庭给予生育津贴、育儿补贴等支持。推进普惠托育服务提质扩容，建立以托育综合服务中心为枢纽，托育机构、社区嵌入式托育、幼儿园托班、家庭托育点等为支撑的“1+N”托育服务体系，实现千人口托位数4.7个。加强妇女和儿童健康服务，完善妇幼健康服务体系。落实母婴安全五项制度，确保孕产妇连续保持零死亡，推动婴儿死亡率逐年下降。加强女性就业权益保护，消除就业性别歧视，为女性生育后重返职场提供技能培训、岗位对接等支持。积极</w:t>
      </w:r>
      <w:r>
        <w:rPr>
          <w:rFonts w:hint="default" w:ascii="Times New Roman" w:hAnsi="Times New Roman" w:cs="Times New Roman"/>
          <w:bCs/>
          <w:spacing w:val="-6"/>
          <w:sz w:val="32"/>
          <w:szCs w:val="32"/>
          <w:lang w:val="en-US" w:eastAsia="zh-CN"/>
        </w:rPr>
        <w:t>发挥青年工作联席会议机制作用，持续跟踪青年教育、就业、住房、生育等关键领域发展状况，有效化解青年成长中的突出问题。</w:t>
      </w:r>
    </w:p>
    <w:p w14:paraId="4E38D45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积极应对人口老龄化。</w:t>
      </w:r>
      <w:r>
        <w:rPr>
          <w:rFonts w:hint="default" w:ascii="Times New Roman" w:hAnsi="Times New Roman" w:cs="Times New Roman"/>
          <w:bCs/>
          <w:sz w:val="32"/>
          <w:szCs w:val="32"/>
          <w:lang w:val="en-US" w:eastAsia="zh-CN"/>
        </w:rPr>
        <w:t>健全居家社区机构相协调、医养康养相结合的养老服务体系，完善城乡养老服务网络。强化居家养老基础作用，推广家庭照护床位建设，为居家失能老人提供上门护理、康复指导等服务。夯实社区养老服务阵地，实现乡镇（街道）综合养老服务中心全覆盖。提升机构养老服务水平，支持养老机构提质扩容，培育专业化养老服务企业，推动养老机构与医疗机构深度合作，提升失能失智老人照护能力。深入推进适老化改造工程，聚焦老旧小区、老年人家庭、公共场所等重点领域，加装电梯、扶手、紧急呼叫系统等设施，优化无障碍通行条件。深化医养康养融合发展，提升养老服务品质。扩大长期护理保险制度覆盖范围，将符合条件的失能老年人、残疾人纳入保障，提高护理服务报销标准与服务供给能力。</w:t>
      </w:r>
    </w:p>
    <w:p w14:paraId="46817E89">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cs="Times New Roman"/>
          <w:bCs/>
          <w:sz w:val="32"/>
          <w:szCs w:val="32"/>
          <w:lang w:val="en-US" w:eastAsia="zh-CN"/>
        </w:rPr>
      </w:pPr>
    </w:p>
    <w:tbl>
      <w:tblPr>
        <w:tblStyle w:val="1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7"/>
      </w:tblGrid>
      <w:tr w14:paraId="08F9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497" w:type="dxa"/>
            <w:noWrap w:val="0"/>
            <w:vAlign w:val="center"/>
          </w:tcPr>
          <w:p w14:paraId="2DF4EB14">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00" w:lineRule="exact"/>
              <w:ind w:left="0" w:right="0" w:firstLine="0" w:firstLineChars="0"/>
              <w:jc w:val="center"/>
              <w:textAlignment w:val="auto"/>
              <w:rPr>
                <w:rFonts w:hint="default" w:ascii="Times New Roman" w:hAnsi="Times New Roman" w:eastAsia="黑体" w:cs="Times New Roman"/>
                <w:b w:val="0"/>
                <w:bCs w:val="0"/>
                <w:spacing w:val="0"/>
                <w:kern w:val="21"/>
                <w:sz w:val="28"/>
                <w:szCs w:val="28"/>
              </w:rPr>
            </w:pPr>
            <w:r>
              <w:rPr>
                <w:rFonts w:hint="default" w:ascii="Times New Roman" w:hAnsi="Times New Roman" w:eastAsia="黑体" w:cs="Times New Roman"/>
                <w:b w:val="0"/>
                <w:bCs w:val="0"/>
                <w:spacing w:val="0"/>
                <w:kern w:val="21"/>
                <w:sz w:val="28"/>
                <w:szCs w:val="28"/>
                <w:highlight w:val="none"/>
              </w:rPr>
              <w:t>专栏</w:t>
            </w:r>
            <w:r>
              <w:rPr>
                <w:rFonts w:hint="default" w:ascii="Times New Roman" w:hAnsi="Times New Roman" w:eastAsia="黑体" w:cs="Times New Roman"/>
                <w:b w:val="0"/>
                <w:bCs w:val="0"/>
                <w:spacing w:val="0"/>
                <w:kern w:val="21"/>
                <w:sz w:val="28"/>
                <w:szCs w:val="28"/>
                <w:highlight w:val="none"/>
                <w:lang w:val="en-US" w:eastAsia="zh-CN"/>
              </w:rPr>
              <w:t>8</w:t>
            </w:r>
            <w:r>
              <w:rPr>
                <w:rFonts w:hint="default" w:ascii="Times New Roman" w:hAnsi="Times New Roman" w:eastAsia="黑体" w:cs="Times New Roman"/>
                <w:b w:val="0"/>
                <w:bCs w:val="0"/>
                <w:spacing w:val="0"/>
                <w:kern w:val="21"/>
                <w:sz w:val="28"/>
                <w:szCs w:val="28"/>
              </w:rPr>
              <w:t>：</w:t>
            </w:r>
            <w:r>
              <w:rPr>
                <w:rFonts w:hint="default" w:ascii="Times New Roman" w:hAnsi="Times New Roman" w:eastAsia="黑体" w:cs="Times New Roman"/>
                <w:b w:val="0"/>
                <w:bCs w:val="0"/>
                <w:spacing w:val="0"/>
                <w:kern w:val="21"/>
                <w:sz w:val="28"/>
                <w:szCs w:val="28"/>
                <w:lang w:val="en-US" w:eastAsia="zh-CN"/>
              </w:rPr>
              <w:t>社会民生</w:t>
            </w:r>
            <w:r>
              <w:rPr>
                <w:rFonts w:hint="default" w:ascii="Times New Roman" w:hAnsi="Times New Roman" w:eastAsia="黑体" w:cs="Times New Roman"/>
                <w:b w:val="0"/>
                <w:bCs w:val="0"/>
                <w:spacing w:val="0"/>
                <w:kern w:val="21"/>
                <w:sz w:val="28"/>
                <w:szCs w:val="28"/>
              </w:rPr>
              <w:t>重点项目</w:t>
            </w:r>
          </w:p>
        </w:tc>
      </w:tr>
      <w:tr w14:paraId="5B2E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1" w:hRule="atLeast"/>
          <w:jc w:val="center"/>
        </w:trPr>
        <w:tc>
          <w:tcPr>
            <w:tcW w:w="8497" w:type="dxa"/>
            <w:noWrap w:val="0"/>
            <w:vAlign w:val="center"/>
          </w:tcPr>
          <w:p w14:paraId="405E43E8">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2" w:firstLineChars="200"/>
              <w:jc w:val="both"/>
              <w:textAlignment w:val="auto"/>
              <w:rPr>
                <w:rFonts w:hint="default" w:ascii="Times New Roman" w:hAnsi="Times New Roman" w:cs="Times New Roman"/>
                <w:b/>
                <w:bCs/>
                <w:spacing w:val="0"/>
                <w:kern w:val="21"/>
                <w:sz w:val="28"/>
                <w:szCs w:val="28"/>
                <w:lang w:val="en-US" w:eastAsia="zh-CN"/>
              </w:rPr>
            </w:pPr>
            <w:r>
              <w:rPr>
                <w:rFonts w:hint="default" w:ascii="Times New Roman" w:hAnsi="Times New Roman" w:cs="Times New Roman"/>
                <w:b/>
                <w:bCs/>
                <w:spacing w:val="0"/>
                <w:kern w:val="21"/>
                <w:sz w:val="28"/>
                <w:szCs w:val="28"/>
                <w:lang w:val="en-US" w:eastAsia="zh-CN"/>
              </w:rPr>
              <w:t>（一）教育高质量发展重点项目</w:t>
            </w:r>
          </w:p>
          <w:p w14:paraId="47E7C54E">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1.枣庄市第三实验学校</w:t>
            </w:r>
          </w:p>
          <w:p w14:paraId="70E45703">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2.枣庄理工学校二期工程</w:t>
            </w:r>
          </w:p>
          <w:p w14:paraId="7DB6A3EE">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3.综合性研学教育基地</w:t>
            </w:r>
          </w:p>
          <w:p w14:paraId="052BD69E">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kern w:val="21"/>
                <w:sz w:val="28"/>
                <w:szCs w:val="28"/>
                <w:lang w:val="en-US" w:eastAsia="zh-CN"/>
              </w:rPr>
            </w:pPr>
            <w:r>
              <w:rPr>
                <w:rFonts w:hint="default" w:ascii="Times New Roman" w:hAnsi="Times New Roman" w:cs="Times New Roman"/>
                <w:b w:val="0"/>
                <w:bCs w:val="0"/>
                <w:spacing w:val="0"/>
                <w:kern w:val="21"/>
                <w:sz w:val="28"/>
                <w:szCs w:val="28"/>
                <w:lang w:val="en-US" w:eastAsia="zh-CN"/>
              </w:rPr>
              <w:t>4.枣庄学院薛城校区新建公寓及配套项目</w:t>
            </w:r>
          </w:p>
          <w:p w14:paraId="69FF2EB2">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2" w:firstLineChars="200"/>
              <w:jc w:val="both"/>
              <w:textAlignment w:val="auto"/>
              <w:rPr>
                <w:rFonts w:hint="default" w:ascii="Times New Roman" w:hAnsi="Times New Roman" w:cs="Times New Roman"/>
                <w:b/>
                <w:bCs/>
                <w:spacing w:val="0"/>
                <w:kern w:val="21"/>
                <w:sz w:val="28"/>
                <w:szCs w:val="28"/>
                <w:lang w:val="en-US" w:eastAsia="zh-CN"/>
              </w:rPr>
            </w:pPr>
            <w:r>
              <w:rPr>
                <w:rFonts w:hint="default" w:ascii="Times New Roman" w:hAnsi="Times New Roman" w:cs="Times New Roman"/>
                <w:b/>
                <w:bCs/>
                <w:spacing w:val="0"/>
                <w:kern w:val="21"/>
                <w:sz w:val="28"/>
                <w:szCs w:val="28"/>
                <w:lang w:val="en-US" w:eastAsia="zh-CN"/>
              </w:rPr>
              <w:t>（二）健康薛城和体育强区建设重点项目</w:t>
            </w:r>
          </w:p>
          <w:p w14:paraId="1790D893">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1.枣庄市体育运动学校新校区工程项目建设</w:t>
            </w:r>
          </w:p>
          <w:p w14:paraId="1E293AAC">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2枣庄市中医医院综合服务能力提升工程</w:t>
            </w:r>
          </w:p>
          <w:p w14:paraId="204B54E5">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3.枣庄市中心血站新建项目</w:t>
            </w:r>
          </w:p>
          <w:p w14:paraId="35C4A436">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4.枣庄市妇幼保健院新城迁建二期项目</w:t>
            </w:r>
          </w:p>
          <w:p w14:paraId="5F980175">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5.紧密型县域医共体医疗设备更新项目</w:t>
            </w:r>
          </w:p>
          <w:p w14:paraId="1C767ED3">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6.薛城区人民医院门诊医技楼建设项目</w:t>
            </w:r>
          </w:p>
          <w:p w14:paraId="33BB964D">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7.基层医疗卫生服务能力提升暨“两院一体”医养结合机构建设</w:t>
            </w:r>
          </w:p>
          <w:p w14:paraId="5EE6E24A">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2" w:firstLineChars="200"/>
              <w:jc w:val="both"/>
              <w:textAlignment w:val="auto"/>
              <w:rPr>
                <w:rFonts w:hint="default" w:ascii="Times New Roman" w:hAnsi="Times New Roman" w:cs="Times New Roman"/>
                <w:b/>
                <w:bCs/>
                <w:spacing w:val="0"/>
                <w:kern w:val="21"/>
                <w:sz w:val="28"/>
                <w:szCs w:val="28"/>
                <w:lang w:val="en-US" w:eastAsia="zh-CN"/>
              </w:rPr>
            </w:pPr>
            <w:r>
              <w:rPr>
                <w:rFonts w:hint="default" w:ascii="Times New Roman" w:hAnsi="Times New Roman" w:cs="Times New Roman"/>
                <w:b/>
                <w:bCs/>
                <w:spacing w:val="0"/>
                <w:kern w:val="21"/>
                <w:sz w:val="28"/>
                <w:szCs w:val="28"/>
                <w:lang w:val="en-US" w:eastAsia="zh-CN"/>
              </w:rPr>
              <w:t>（三）人口高质量发展重点项目</w:t>
            </w:r>
          </w:p>
          <w:p w14:paraId="76337FCF">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1.薛城区社区嵌入式养老、托育服务中心项目</w:t>
            </w:r>
          </w:p>
          <w:p w14:paraId="5B147522">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2.舜德教育大学城创新创业实训基地项目</w:t>
            </w:r>
          </w:p>
          <w:p w14:paraId="1DCF8A63">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3.青少年综合实践基地项目暨公共实训基地项目</w:t>
            </w:r>
          </w:p>
          <w:p w14:paraId="39D12E95">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4.蟠龙源智慧康养一体化项目</w:t>
            </w:r>
          </w:p>
          <w:p w14:paraId="1513AADE">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5.枣庄市颐顺康养中心（和顺康养）</w:t>
            </w:r>
          </w:p>
          <w:p w14:paraId="2309A9CC">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440" w:lineRule="exact"/>
              <w:ind w:leftChars="0" w:right="0" w:rightChars="0" w:firstLine="560" w:firstLineChars="200"/>
              <w:jc w:val="both"/>
              <w:textAlignment w:val="auto"/>
              <w:rPr>
                <w:rFonts w:hint="default" w:ascii="Times New Roman" w:hAnsi="Times New Roman" w:cs="Times New Roman"/>
                <w:lang w:val="en-US" w:eastAsia="zh-CN"/>
              </w:rPr>
            </w:pPr>
            <w:r>
              <w:rPr>
                <w:rFonts w:hint="default" w:ascii="Times New Roman" w:hAnsi="Times New Roman" w:cs="Times New Roman"/>
                <w:b w:val="0"/>
                <w:bCs w:val="0"/>
                <w:spacing w:val="0"/>
                <w:kern w:val="21"/>
                <w:sz w:val="28"/>
                <w:szCs w:val="28"/>
                <w:lang w:val="en-US" w:eastAsia="zh-CN"/>
              </w:rPr>
              <w:t>6.普惠托育服务发展项目</w:t>
            </w:r>
          </w:p>
        </w:tc>
      </w:tr>
    </w:tbl>
    <w:p w14:paraId="0DF8BDA2">
      <w:pPr>
        <w:keepNext w:val="0"/>
        <w:keepLines w:val="0"/>
        <w:pageBreakBefore w:val="0"/>
        <w:widowControl w:val="0"/>
        <w:kinsoku/>
        <w:wordWrap/>
        <w:overflowPunct/>
        <w:topLinePunct w:val="0"/>
        <w:autoSpaceDE/>
        <w:autoSpaceDN/>
        <w:bidi w:val="0"/>
        <w:adjustRightInd w:val="0"/>
        <w:snapToGrid w:val="0"/>
        <w:spacing w:before="313" w:beforeLines="100" w:beforeAutospacing="0" w:after="313" w:afterLines="100" w:afterAutospacing="0" w:line="580" w:lineRule="exact"/>
        <w:ind w:firstLine="0" w:firstLineChars="0"/>
        <w:jc w:val="center"/>
        <w:textAlignment w:val="auto"/>
        <w:outlineLvl w:val="0"/>
        <w:rPr>
          <w:rFonts w:hint="eastAsia" w:ascii="黑体" w:hAnsi="黑体" w:eastAsia="黑体" w:cs="黑体"/>
          <w:b w:val="0"/>
          <w:bCs/>
          <w:kern w:val="21"/>
          <w:sz w:val="32"/>
          <w:szCs w:val="32"/>
          <w:lang w:val="en-US" w:eastAsia="zh-CN"/>
        </w:rPr>
      </w:pPr>
      <w:bookmarkStart w:id="75" w:name="_Toc838250887"/>
      <w:r>
        <w:rPr>
          <w:rFonts w:hint="eastAsia" w:ascii="黑体" w:hAnsi="黑体" w:eastAsia="黑体" w:cs="黑体"/>
          <w:b w:val="0"/>
          <w:bCs/>
          <w:kern w:val="21"/>
          <w:sz w:val="32"/>
          <w:szCs w:val="32"/>
          <w:lang w:val="en-US" w:eastAsia="zh-CN"/>
        </w:rPr>
        <w:t>第十二章  贯彻总体国家安全观，建设更高水平平安薛城</w:t>
      </w:r>
      <w:bookmarkEnd w:id="75"/>
    </w:p>
    <w:p w14:paraId="3A8D87C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全面贯彻落实总体国家安全观，坚持把安全发展贯穿经济社会发展全过程各领域，深入推进平安薛城建设，着力防范化解各类风险，筑牢现代化强区建设安全屏障。</w:t>
      </w:r>
    </w:p>
    <w:p w14:paraId="169C2DD5">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76" w:name="_Toc1727793868"/>
      <w:r>
        <w:rPr>
          <w:rFonts w:hint="eastAsia" w:ascii="楷体_GB2312" w:hAnsi="楷体_GB2312" w:eastAsia="楷体_GB2312" w:cs="楷体_GB2312"/>
          <w:kern w:val="21"/>
          <w:sz w:val="32"/>
          <w:szCs w:val="32"/>
          <w:highlight w:val="none"/>
          <w:lang w:val="en-US" w:eastAsia="zh-CN"/>
        </w:rPr>
        <w:t>第一节  筑牢经济安全根基</w:t>
      </w:r>
      <w:bookmarkEnd w:id="76"/>
    </w:p>
    <w:p w14:paraId="0FC85D7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聚焦经济主战场，全面加强风险预警与精准管控，为全区经济平稳运行筑牢安全底座。</w:t>
      </w:r>
    </w:p>
    <w:p w14:paraId="322381A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lang w:val="en-US" w:eastAsia="zh-CN"/>
        </w:rPr>
        <w:t>保障金融安全稳定。</w:t>
      </w:r>
      <w:r>
        <w:rPr>
          <w:rFonts w:hint="default" w:ascii="Times New Roman" w:hAnsi="Times New Roman" w:cs="Times New Roman"/>
          <w:bCs/>
          <w:sz w:val="32"/>
          <w:szCs w:val="32"/>
          <w:lang w:val="en-US" w:eastAsia="zh-CN"/>
        </w:rPr>
        <w:t>健全金融风险监测体系，紧盯中小微企业信贷风险与非法集资，建立“企业金融风险台账”，定期对企业开展风险排查。稳妥做好政府债务化解，加强与银行、担保机构协同，防范企业资金链断裂，严厉打击非法集资、电信网络诈骗等违法活动，开展“金融安全进社区、进企业”活动，提升群众与企业风险意识。</w:t>
      </w:r>
    </w:p>
    <w:p w14:paraId="466D647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lang w:val="en-US" w:eastAsia="zh-CN"/>
        </w:rPr>
        <w:t>维护产业链供应链安全。</w:t>
      </w:r>
      <w:r>
        <w:rPr>
          <w:rFonts w:hint="default" w:ascii="Times New Roman" w:hAnsi="Times New Roman" w:cs="Times New Roman"/>
          <w:bCs/>
          <w:sz w:val="32"/>
          <w:szCs w:val="32"/>
          <w:lang w:val="en-US" w:eastAsia="zh-CN"/>
        </w:rPr>
        <w:t>围绕主导产业，绘制“产业链安全图谱”，建立“链主企业+配套企业”协同机制，降低对外依赖度。加强产业链风险预警，对进口依赖度高的产品建立储备清单，实现原料供应、产能调配互助。培育“专精特新”企业，攻克关键技术，提升产业链自主可控能力。</w:t>
      </w:r>
    </w:p>
    <w:p w14:paraId="78A0D3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强化能源安全保障。</w:t>
      </w:r>
      <w:r>
        <w:rPr>
          <w:rFonts w:hint="default" w:ascii="Times New Roman" w:hAnsi="Times New Roman" w:cs="Times New Roman"/>
          <w:bCs/>
          <w:sz w:val="32"/>
          <w:szCs w:val="32"/>
          <w:lang w:val="en-US" w:eastAsia="zh-CN"/>
        </w:rPr>
        <w:t>紧扣工业生产与民生用能需求，推进电网升级改造，优化电力调度方案，保障重点领域用电稳定。扩大分布式光伏设施布局，提升清洁能源自给率。完善城乡燃气管网，落实“双气源”供应机制，强化气源保障。健全能源应急储备体系，优化储备设施布局，提升极端情况下能源调配能力，筑牢区域能源安全底线。</w:t>
      </w:r>
    </w:p>
    <w:p w14:paraId="73AEFEA2">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77" w:name="_Toc115013302"/>
      <w:r>
        <w:rPr>
          <w:rFonts w:hint="eastAsia" w:ascii="楷体_GB2312" w:hAnsi="楷体_GB2312" w:eastAsia="楷体_GB2312" w:cs="楷体_GB2312"/>
          <w:kern w:val="21"/>
          <w:sz w:val="32"/>
          <w:szCs w:val="32"/>
          <w:highlight w:val="none"/>
          <w:lang w:val="en-US" w:eastAsia="zh-CN"/>
        </w:rPr>
        <w:t>第二节  坚决保障生产安全</w:t>
      </w:r>
      <w:bookmarkEnd w:id="77"/>
    </w:p>
    <w:p w14:paraId="4BB448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深化安全生产治本攻坚行动，压紧压实安全生产责任，严格落实各项监管制度，坚决防范和遏制重特大事故发生，切实维护人民群众生命财产安全。</w:t>
      </w:r>
    </w:p>
    <w:p w14:paraId="7722CB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深化重点领域安全整治。</w:t>
      </w:r>
      <w:r>
        <w:rPr>
          <w:rFonts w:hint="default" w:ascii="Times New Roman" w:hAnsi="Times New Roman" w:cs="Times New Roman"/>
          <w:bCs/>
          <w:sz w:val="32"/>
          <w:szCs w:val="32"/>
          <w:lang w:val="en-US" w:eastAsia="zh-CN"/>
        </w:rPr>
        <w:t>聚焦危险品、建筑施工、燃气消防、交通运输等关键领域，实施精准管控。化工领域紧盯薛城化工产业园，落实“一企一策”管控，推动企业全覆盖安装可燃气体泄漏检测与紧急切断装置，强化危险品储存、运输、使用全链条监管。建筑施工领域严查深基坑、高支模等关键环节隐患，规范企业资质与施工流程，强化工人安全培训。燃气消防领域推进老旧管网更新改造，推广泄漏智能报警装置，深化“九小”场所、城乡接合部消防安全整治，清理消防通道堵塞、电气线路老化等问题，新建</w:t>
      </w:r>
      <w:r>
        <w:rPr>
          <w:rFonts w:hint="default" w:ascii="Times New Roman" w:hAnsi="Times New Roman" w:cs="Times New Roman"/>
          <w:lang w:val="en-US" w:eastAsia="zh-CN"/>
        </w:rPr>
        <w:t>一级普通（城市近郊型）消防站、一级普通消防站各1座。</w:t>
      </w:r>
      <w:r>
        <w:rPr>
          <w:rFonts w:hint="default" w:ascii="Times New Roman" w:hAnsi="Times New Roman" w:cs="Times New Roman"/>
          <w:bCs/>
          <w:sz w:val="32"/>
          <w:szCs w:val="32"/>
          <w:lang w:val="en-US" w:eastAsia="zh-CN"/>
        </w:rPr>
        <w:t>交通运输领域优化交通场站周边秩序，排查整改道路桥梁隐患，严控危险品运输车辆违法违规行为。</w:t>
      </w:r>
    </w:p>
    <w:p w14:paraId="71B819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压实全链条安全生产责任。</w:t>
      </w:r>
      <w:r>
        <w:rPr>
          <w:rFonts w:hint="default" w:ascii="Times New Roman" w:hAnsi="Times New Roman" w:cs="Times New Roman"/>
          <w:bCs/>
          <w:sz w:val="32"/>
          <w:szCs w:val="32"/>
          <w:lang w:val="en-US" w:eastAsia="zh-CN"/>
        </w:rPr>
        <w:t>严格落实“三管三必须”要求，健全属地、部门、企业“三位一体”责任体系。督促企业履行主体责任，建立全员安全生产责任制，定期开展风险辨识与隐患自查。建立健全安全生产联席会议制度，统筹多部门力量开展联合执法、联合督查，形成监管合力。</w:t>
      </w:r>
    </w:p>
    <w:p w14:paraId="3ACFF4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提升安全监管执法效能。</w:t>
      </w:r>
      <w:r>
        <w:rPr>
          <w:rFonts w:hint="default" w:ascii="Times New Roman" w:hAnsi="Times New Roman" w:cs="Times New Roman"/>
          <w:bCs/>
          <w:sz w:val="32"/>
          <w:szCs w:val="32"/>
          <w:lang w:val="en-US" w:eastAsia="zh-CN"/>
        </w:rPr>
        <w:t>创新监管执法模式，推广“线上+线下”相结合的执法方式，运用数字化手段实现重点企业、关键环节安全数据实时监控与异常预警。规范执法行为，严格落实行政执法公示、执法全过程记录、重大执法决定法制审核“三项制度”，规范自由裁量权。强化信用约束，建立安全生产信用评价体系，将企业违法违规行为记入信用档案，实施守信激励、失信惩戒。</w:t>
      </w:r>
    </w:p>
    <w:p w14:paraId="24FDA104">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78" w:name="_Toc1763534237"/>
      <w:r>
        <w:rPr>
          <w:rFonts w:hint="eastAsia" w:ascii="楷体_GB2312" w:hAnsi="楷体_GB2312" w:eastAsia="楷体_GB2312" w:cs="楷体_GB2312"/>
          <w:kern w:val="21"/>
          <w:sz w:val="32"/>
          <w:szCs w:val="32"/>
          <w:highlight w:val="none"/>
          <w:lang w:val="en-US" w:eastAsia="zh-CN"/>
        </w:rPr>
        <w:t>第三节  维护社会稳定和谐</w:t>
      </w:r>
      <w:bookmarkEnd w:id="78"/>
    </w:p>
    <w:p w14:paraId="543152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坚持系统治理、依法治理、综合治理、源头治理，创新基层社会治理方式，努力将矛盾纠纷化解在基层，确保社会大局持续和谐稳定。</w:t>
      </w:r>
    </w:p>
    <w:p w14:paraId="3059EC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lang w:val="en-US" w:eastAsia="zh-CN"/>
        </w:rPr>
        <w:t>筑牢政治安全与意识形态安全防线。</w:t>
      </w:r>
      <w:r>
        <w:rPr>
          <w:rFonts w:hint="default" w:ascii="Times New Roman" w:hAnsi="Times New Roman" w:cs="Times New Roman"/>
          <w:bCs/>
          <w:sz w:val="32"/>
          <w:szCs w:val="32"/>
          <w:lang w:val="en-US" w:eastAsia="zh-CN"/>
        </w:rPr>
        <w:t>严格落实意识形态工作责任制，加强意识形态风险排查、化解。围绕重大政策出台、重要活动举办，通过专题解读、百姓宣讲等形式做好正面宣传，凝聚社会共识。防范化解意识形态领域风险，严厉打击非法宗教活动，加强校园、社区思想引导，开展“反邪教”宣传教育。</w:t>
      </w:r>
    </w:p>
    <w:p w14:paraId="15E538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u w:val="none"/>
          <w:lang w:val="en-US" w:eastAsia="zh-CN"/>
        </w:rPr>
        <w:t>提升基层社会治理水平。</w:t>
      </w:r>
      <w:r>
        <w:rPr>
          <w:rFonts w:hint="default" w:ascii="Times New Roman" w:hAnsi="Times New Roman" w:cs="Times New Roman"/>
          <w:bCs/>
          <w:sz w:val="32"/>
          <w:szCs w:val="32"/>
          <w:lang w:val="en-US" w:eastAsia="zh-CN"/>
        </w:rPr>
        <w:t>坚持和发展新时代“枫桥经验”，构建党组织领导的自治、法治、德治相结合的基层治理体系，深化村（居）委会规范化建设。加强新兴领域党的建设，深化“两个覆盖”质效，深入推进“双融双创”行动，进一步加强对新就业群体的思想引导和凝聚服务工作。加强党建引领基层治理和基层政权建设，全面实施乡镇（街道）履职事项清单，健全村（社区）工作事项准入制度，建强用好社区工作者、基层志愿者等基层治理队伍。加强凝聚服务群众工作，深入推进信访工作法治化，培育专业化志愿服务队伍和具有薛城特色的志愿服务品牌项目。</w:t>
      </w:r>
    </w:p>
    <w:p w14:paraId="722B61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lang w:val="en-US" w:eastAsia="zh-CN"/>
        </w:rPr>
        <w:t>强化公共安全与治安防控。</w:t>
      </w:r>
      <w:r>
        <w:rPr>
          <w:rFonts w:hint="default" w:ascii="Times New Roman" w:hAnsi="Times New Roman" w:cs="Times New Roman"/>
          <w:bCs/>
          <w:sz w:val="32"/>
          <w:szCs w:val="32"/>
          <w:lang w:val="en-US" w:eastAsia="zh-CN"/>
        </w:rPr>
        <w:t>加强农贸市场、商超、药店常态化监管，严厉打击制售假冒伪劣食品药品行为。建设“智慧警务”体系，在城区商圈、交通路口、乡镇重点区域增设视频监控，实现“全域覆盖、实时监控”。加强盗窃、诈骗等民生案件侦破，组织公安干警、社区志愿者开展“夜间巡防”，针对城乡接合部、城中村开展治安专项整治，消除治安隐患。</w:t>
      </w:r>
    </w:p>
    <w:p w14:paraId="59FD49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 w:val="0"/>
          <w:bCs w:val="0"/>
          <w:lang w:val="en-US" w:eastAsia="zh-CN"/>
        </w:rPr>
        <w:t>营造清朗网络空间。</w:t>
      </w:r>
      <w:r>
        <w:rPr>
          <w:rFonts w:hint="default" w:ascii="Times New Roman" w:hAnsi="Times New Roman" w:cs="Times New Roman"/>
          <w:bCs/>
          <w:sz w:val="32"/>
          <w:szCs w:val="32"/>
          <w:lang w:val="en-US" w:eastAsia="zh-CN"/>
        </w:rPr>
        <w:t>围绕“薛城发展成就”“民生政策落地”等主题，定期发布正面信息，凝聚网络正能量。开展“网络安全宣传周”活动，通过校园讲座、社区宣传、企业培训，普及网络安全知识，提升群众防范电信诈骗、保护个人信息的能力。严厉打击网络谣言、网络暴力等违法违规行为，维护健康有序的网络秩序。</w:t>
      </w:r>
    </w:p>
    <w:p w14:paraId="182E6010">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79" w:name="_Toc285686579"/>
      <w:r>
        <w:rPr>
          <w:rFonts w:hint="eastAsia" w:ascii="楷体_GB2312" w:hAnsi="楷体_GB2312" w:eastAsia="楷体_GB2312" w:cs="楷体_GB2312"/>
          <w:kern w:val="21"/>
          <w:sz w:val="32"/>
          <w:szCs w:val="32"/>
          <w:highlight w:val="none"/>
          <w:lang w:val="en-US" w:eastAsia="zh-CN"/>
        </w:rPr>
        <w:t>第四节  推进应急管理现代化</w:t>
      </w:r>
      <w:bookmarkEnd w:id="79"/>
    </w:p>
    <w:p w14:paraId="71765D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b w:val="0"/>
          <w:bCs w:val="0"/>
          <w:lang w:val="en-US" w:eastAsia="zh-CN"/>
        </w:rPr>
      </w:pPr>
      <w:r>
        <w:rPr>
          <w:rFonts w:hint="default" w:ascii="Times New Roman" w:hAnsi="Times New Roman" w:cs="Times New Roman"/>
          <w:bCs/>
          <w:sz w:val="32"/>
          <w:szCs w:val="32"/>
          <w:lang w:val="en-US" w:eastAsia="zh-CN"/>
        </w:rPr>
        <w:t>坚持安全第一、预防为主，构建覆盖全领域、全链条的应急管理体系，全面提升应对自然灾害、事故灾难、公共卫生事件的综合处置能力。</w:t>
      </w:r>
    </w:p>
    <w:p w14:paraId="412454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default" w:ascii="楷体_GB2312" w:hAnsi="楷体_GB2312" w:eastAsia="楷体_GB2312" w:cs="楷体_GB2312"/>
          <w:b w:val="0"/>
          <w:bCs w:val="0"/>
          <w:lang w:val="en-US" w:eastAsia="zh-CN"/>
        </w:rPr>
        <w:t>健全应急管理体系。</w:t>
      </w:r>
      <w:r>
        <w:rPr>
          <w:rFonts w:hint="default" w:ascii="Times New Roman" w:hAnsi="Times New Roman" w:cs="Times New Roman"/>
          <w:bCs/>
          <w:sz w:val="32"/>
          <w:szCs w:val="32"/>
          <w:lang w:val="en-US" w:eastAsia="zh-CN"/>
        </w:rPr>
        <w:t>完善“区—乡镇（街道）—村（社区）”三级应急组织架构，明确各级应急职责清单，确保突发事件快速处置。整合消防、医疗、公安、综合执法等力量，组建综合应急救援队伍，支持薛城化工产业园、重点企业及社区组建志愿应急队伍，形成“专业救援+志愿补充”的协同格局。修订完善应急预案体系，针对火灾、防汛、地质灾害、公共卫生等重点风险，制定“一风险一预案”，加强实战化演练，提升多部门协同响应能力。</w:t>
      </w:r>
    </w:p>
    <w:p w14:paraId="1B8B3A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default" w:ascii="楷体_GB2312" w:hAnsi="楷体_GB2312" w:eastAsia="楷体_GB2312" w:cs="楷体_GB2312"/>
          <w:b w:val="0"/>
          <w:bCs w:val="0"/>
          <w:lang w:val="en-US" w:eastAsia="zh-CN"/>
        </w:rPr>
        <w:t>强化风险监测预警。</w:t>
      </w:r>
      <w:r>
        <w:rPr>
          <w:rFonts w:hint="default" w:ascii="Times New Roman" w:hAnsi="Times New Roman" w:cs="Times New Roman"/>
          <w:bCs/>
          <w:sz w:val="32"/>
          <w:szCs w:val="32"/>
          <w:lang w:val="en-US" w:eastAsia="zh-CN"/>
        </w:rPr>
        <w:t>整合气象、环保、交通等部门监测数据，对暴雨、洪水、地质灾害、空气污染、道路结冰等风险实现异常情况自动预警、风险信息一键推送。优化预警信息发布机制，确保预警信息及时传达。针对老年人、农村独居群体等信息接收薄弱人群，组织网格员上门提醒、电话告知，实现预警覆盖无死角、无遗漏。</w:t>
      </w:r>
    </w:p>
    <w:p w14:paraId="7D2C03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eastAsia="楷体" w:cs="Times New Roman"/>
          <w:b w:val="0"/>
          <w:bCs w:val="0"/>
          <w:lang w:val="en-US" w:eastAsia="zh-CN"/>
        </w:rPr>
        <w:t>提升防灾减灾救灾能力。</w:t>
      </w:r>
      <w:r>
        <w:rPr>
          <w:rFonts w:hint="default" w:ascii="Times New Roman" w:hAnsi="Times New Roman" w:cs="Times New Roman"/>
          <w:bCs/>
          <w:sz w:val="32"/>
          <w:szCs w:val="32"/>
          <w:lang w:val="en-US" w:eastAsia="zh-CN"/>
        </w:rPr>
        <w:t>强化堤防加固、河道清淤，提升流域防洪标准，加密以自动气象站为主的中小尺度天气监测网，提升预报能力。开展知识讲座、技能培训、应急演练等活动，提升群众防灾自救意识。加强应急物资储备库建设，储备防汛、抗旱、防疫、救灾等物资，建立健全与周边县区的跨区域物资调拨机制。完善灾后救助机制，统筹民政、住建、农业、卫健等部门，及时开展灾情核查、房屋修缮、农业救灾、医疗救助，及时帮助受灾群众恢复基本生产生活</w:t>
      </w:r>
      <w:r>
        <w:rPr>
          <w:rFonts w:hint="eastAsia" w:ascii="Times New Roman" w:hAnsi="Times New Roman" w:cs="Times New Roman"/>
          <w:bCs/>
          <w:sz w:val="32"/>
          <w:szCs w:val="32"/>
          <w:lang w:val="en-US" w:eastAsia="zh-CN"/>
        </w:rPr>
        <w:t>。</w:t>
      </w:r>
    </w:p>
    <w:p w14:paraId="5D2F04C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p>
    <w:tbl>
      <w:tblPr>
        <w:tblStyle w:val="1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7"/>
      </w:tblGrid>
      <w:tr w14:paraId="7935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blHeader/>
          <w:jc w:val="center"/>
        </w:trPr>
        <w:tc>
          <w:tcPr>
            <w:tcW w:w="8497" w:type="dxa"/>
            <w:noWrap w:val="0"/>
            <w:vAlign w:val="center"/>
          </w:tcPr>
          <w:p w14:paraId="28412A9B">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00" w:lineRule="exact"/>
              <w:ind w:left="0" w:right="0" w:firstLine="0" w:firstLineChars="0"/>
              <w:jc w:val="center"/>
              <w:textAlignment w:val="auto"/>
              <w:rPr>
                <w:rFonts w:hint="default" w:ascii="Times New Roman" w:hAnsi="Times New Roman" w:eastAsia="黑体" w:cs="Times New Roman"/>
                <w:b w:val="0"/>
                <w:bCs w:val="0"/>
                <w:spacing w:val="0"/>
                <w:kern w:val="21"/>
                <w:sz w:val="28"/>
                <w:szCs w:val="28"/>
              </w:rPr>
            </w:pPr>
            <w:r>
              <w:rPr>
                <w:rFonts w:hint="default" w:ascii="Times New Roman" w:hAnsi="Times New Roman" w:eastAsia="黑体" w:cs="Times New Roman"/>
                <w:b w:val="0"/>
                <w:bCs w:val="0"/>
                <w:spacing w:val="0"/>
                <w:kern w:val="21"/>
                <w:sz w:val="28"/>
                <w:szCs w:val="28"/>
                <w:highlight w:val="none"/>
              </w:rPr>
              <w:t>专栏</w:t>
            </w:r>
            <w:r>
              <w:rPr>
                <w:rFonts w:hint="default" w:ascii="Times New Roman" w:hAnsi="Times New Roman" w:eastAsia="黑体" w:cs="Times New Roman"/>
                <w:b w:val="0"/>
                <w:bCs w:val="0"/>
                <w:spacing w:val="0"/>
                <w:kern w:val="21"/>
                <w:sz w:val="28"/>
                <w:szCs w:val="28"/>
                <w:highlight w:val="none"/>
                <w:lang w:val="en-US" w:eastAsia="zh-CN"/>
              </w:rPr>
              <w:t>9</w:t>
            </w:r>
            <w:r>
              <w:rPr>
                <w:rFonts w:hint="default" w:ascii="Times New Roman" w:hAnsi="Times New Roman" w:eastAsia="黑体" w:cs="Times New Roman"/>
                <w:b w:val="0"/>
                <w:bCs w:val="0"/>
                <w:spacing w:val="0"/>
                <w:kern w:val="21"/>
                <w:sz w:val="28"/>
                <w:szCs w:val="28"/>
              </w:rPr>
              <w:t>：</w:t>
            </w:r>
            <w:r>
              <w:rPr>
                <w:rFonts w:hint="default" w:ascii="Times New Roman" w:hAnsi="Times New Roman" w:eastAsia="黑体" w:cs="Times New Roman"/>
                <w:b w:val="0"/>
                <w:bCs w:val="0"/>
                <w:spacing w:val="0"/>
                <w:kern w:val="21"/>
                <w:sz w:val="28"/>
                <w:szCs w:val="28"/>
                <w:lang w:val="en-US" w:eastAsia="zh-CN"/>
              </w:rPr>
              <w:t>安全保障与现代应急</w:t>
            </w:r>
            <w:r>
              <w:rPr>
                <w:rFonts w:hint="default" w:ascii="Times New Roman" w:hAnsi="Times New Roman" w:eastAsia="黑体" w:cs="Times New Roman"/>
                <w:b w:val="0"/>
                <w:bCs w:val="0"/>
                <w:spacing w:val="0"/>
                <w:kern w:val="21"/>
                <w:sz w:val="28"/>
                <w:szCs w:val="28"/>
              </w:rPr>
              <w:t>重点项目</w:t>
            </w:r>
          </w:p>
        </w:tc>
      </w:tr>
      <w:tr w14:paraId="2D68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8497" w:type="dxa"/>
            <w:noWrap w:val="0"/>
            <w:vAlign w:val="center"/>
          </w:tcPr>
          <w:p w14:paraId="5EA2A20C">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1.薛城区陶庄镇北部山区森林防</w:t>
            </w:r>
            <w:r>
              <w:rPr>
                <w:rFonts w:hint="eastAsia" w:ascii="Times New Roman" w:hAnsi="Times New Roman" w:cs="Times New Roman"/>
                <w:b w:val="0"/>
                <w:bCs w:val="0"/>
                <w:spacing w:val="0"/>
                <w:kern w:val="21"/>
                <w:sz w:val="28"/>
                <w:szCs w:val="28"/>
                <w:lang w:val="en-US" w:eastAsia="zh-CN"/>
              </w:rPr>
              <w:t>火</w:t>
            </w:r>
            <w:r>
              <w:rPr>
                <w:rFonts w:hint="default" w:ascii="Times New Roman" w:hAnsi="Times New Roman" w:cs="Times New Roman"/>
                <w:b w:val="0"/>
                <w:bCs w:val="0"/>
                <w:spacing w:val="0"/>
                <w:kern w:val="21"/>
                <w:sz w:val="28"/>
                <w:szCs w:val="28"/>
                <w:lang w:val="en-US" w:eastAsia="zh-CN"/>
              </w:rPr>
              <w:t>隔离通道项目</w:t>
            </w:r>
          </w:p>
          <w:p w14:paraId="3C282998">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80" w:lineRule="exact"/>
              <w:ind w:leftChars="0" w:right="0" w:rightChars="0" w:firstLine="560" w:firstLineChars="200"/>
              <w:jc w:val="both"/>
              <w:textAlignment w:val="auto"/>
              <w:rPr>
                <w:rFonts w:hint="default" w:ascii="Times New Roman" w:hAnsi="Times New Roman" w:cs="Times New Roman"/>
                <w:b w:val="0"/>
                <w:bCs w:val="0"/>
                <w:spacing w:val="0"/>
                <w:kern w:val="21"/>
                <w:sz w:val="28"/>
                <w:szCs w:val="28"/>
                <w:lang w:val="en-US" w:eastAsia="zh-CN"/>
              </w:rPr>
            </w:pPr>
            <w:r>
              <w:rPr>
                <w:rFonts w:hint="default" w:ascii="Times New Roman" w:hAnsi="Times New Roman" w:cs="Times New Roman"/>
                <w:b w:val="0"/>
                <w:bCs w:val="0"/>
                <w:spacing w:val="0"/>
                <w:kern w:val="21"/>
                <w:sz w:val="28"/>
                <w:szCs w:val="28"/>
                <w:lang w:val="en-US" w:eastAsia="zh-CN"/>
              </w:rPr>
              <w:t>2.枣庄市公安局反恐维稳应急处突训练基地</w:t>
            </w:r>
          </w:p>
          <w:p w14:paraId="77108170">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before="0" w:beforeAutospacing="0" w:after="0" w:afterAutospacing="0" w:line="380" w:lineRule="exact"/>
              <w:ind w:leftChars="0" w:right="0" w:rightChars="0" w:firstLine="560" w:firstLineChars="200"/>
              <w:jc w:val="both"/>
              <w:textAlignment w:val="auto"/>
              <w:rPr>
                <w:rFonts w:hint="default"/>
                <w:lang w:val="en-US" w:eastAsia="zh-CN"/>
              </w:rPr>
            </w:pPr>
            <w:r>
              <w:rPr>
                <w:rFonts w:hint="eastAsia" w:ascii="Times New Roman" w:hAnsi="Times New Roman" w:cs="Times New Roman"/>
                <w:b w:val="0"/>
                <w:bCs w:val="0"/>
                <w:spacing w:val="0"/>
                <w:kern w:val="21"/>
                <w:sz w:val="28"/>
                <w:szCs w:val="28"/>
                <w:lang w:val="en-US" w:eastAsia="zh-CN"/>
              </w:rPr>
              <w:t>3.</w:t>
            </w:r>
            <w:r>
              <w:rPr>
                <w:rFonts w:hint="default" w:ascii="Times New Roman" w:hAnsi="Times New Roman" w:cs="Times New Roman"/>
                <w:b w:val="0"/>
                <w:bCs w:val="0"/>
                <w:spacing w:val="0"/>
                <w:kern w:val="21"/>
                <w:sz w:val="28"/>
                <w:szCs w:val="28"/>
                <w:lang w:val="en-US" w:eastAsia="zh-CN"/>
              </w:rPr>
              <w:t>枣庄市数智平急两用仓储物流综合体项目</w:t>
            </w:r>
          </w:p>
        </w:tc>
      </w:tr>
    </w:tbl>
    <w:p w14:paraId="73252977">
      <w:pPr>
        <w:ind w:left="0" w:leftChars="0" w:firstLine="0" w:firstLineChars="0"/>
        <w:rPr>
          <w:rFonts w:hint="default" w:ascii="Times New Roman" w:hAnsi="Times New Roman" w:cs="Times New Roman"/>
          <w:bCs/>
          <w:sz w:val="32"/>
          <w:szCs w:val="32"/>
          <w:lang w:val="en-US" w:eastAsia="zh-CN"/>
        </w:rPr>
      </w:pPr>
    </w:p>
    <w:p w14:paraId="002FE666">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0" w:firstLineChars="0"/>
        <w:jc w:val="center"/>
        <w:textAlignment w:val="auto"/>
        <w:outlineLvl w:val="0"/>
        <w:rPr>
          <w:rFonts w:hint="eastAsia" w:ascii="黑体" w:hAnsi="黑体" w:eastAsia="黑体" w:cs="黑体"/>
          <w:b w:val="0"/>
          <w:bCs/>
          <w:kern w:val="21"/>
          <w:sz w:val="32"/>
          <w:szCs w:val="32"/>
          <w:lang w:val="en-US" w:eastAsia="zh-CN"/>
        </w:rPr>
      </w:pPr>
      <w:bookmarkStart w:id="80" w:name="_Toc1817869167"/>
      <w:r>
        <w:rPr>
          <w:rFonts w:hint="eastAsia" w:ascii="黑体" w:hAnsi="黑体" w:eastAsia="黑体" w:cs="黑体"/>
          <w:b w:val="0"/>
          <w:bCs/>
          <w:kern w:val="21"/>
          <w:sz w:val="32"/>
          <w:szCs w:val="32"/>
          <w:lang w:val="en-US" w:eastAsia="zh-CN"/>
        </w:rPr>
        <w:t>第十三章  加强党的全面领导，凝心聚力建设品质薛城</w:t>
      </w:r>
      <w:bookmarkEnd w:id="80"/>
    </w:p>
    <w:p w14:paraId="19927BFF">
      <w:pPr>
        <w:keepNext w:val="0"/>
        <w:keepLines w:val="0"/>
        <w:pageBreakBefore w:val="0"/>
        <w:widowControl w:val="0"/>
        <w:kinsoku/>
        <w:wordWrap/>
        <w:overflowPunct/>
        <w:topLinePunct w:val="0"/>
        <w:autoSpaceDE/>
        <w:autoSpaceDN/>
        <w:bidi w:val="0"/>
        <w:adjustRightInd w:val="0"/>
        <w:snapToGrid w:val="0"/>
        <w:spacing w:before="313" w:beforeLines="100" w:line="56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坚持党中央集中统一领导，全面加强党的建设，以高质量党建引领高质量发展，不断凝聚现代化强区建设强大合力。</w:t>
      </w:r>
    </w:p>
    <w:p w14:paraId="3F14FFF3">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81" w:name="_Toc418637420"/>
      <w:r>
        <w:rPr>
          <w:rFonts w:hint="eastAsia" w:ascii="楷体_GB2312" w:hAnsi="楷体_GB2312" w:eastAsia="楷体_GB2312" w:cs="楷体_GB2312"/>
          <w:kern w:val="21"/>
          <w:sz w:val="32"/>
          <w:szCs w:val="32"/>
          <w:highlight w:val="none"/>
          <w:lang w:val="en-US" w:eastAsia="zh-CN"/>
        </w:rPr>
        <w:t>第一节  坚持和加强党的全面领导</w:t>
      </w:r>
      <w:bookmarkEnd w:id="81"/>
    </w:p>
    <w:p w14:paraId="5EDB7E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始终把党的领导贯穿现代化强区建设各方面全过程，确保各项事业沿着正确方向稳步前进。</w:t>
      </w:r>
    </w:p>
    <w:p w14:paraId="35E275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强化政治建设统领。</w:t>
      </w:r>
      <w:r>
        <w:rPr>
          <w:rFonts w:hint="default" w:ascii="Times New Roman" w:hAnsi="Times New Roman" w:cs="Times New Roman"/>
          <w:bCs/>
          <w:sz w:val="32"/>
          <w:szCs w:val="32"/>
          <w:lang w:val="en-US" w:eastAsia="zh-CN"/>
        </w:rPr>
        <w:t>深入学习贯彻习近平新时代中国特色社会主义思想，深刻领悟“两个确立”的决定性意义，增强“四个意识”、坚定“四个自信”、做到“两个维护”。严格落实“第一议题”制度，确保习近平总书记视察山东重要讲话精神、视察枣庄重要指示精神及党中央决策部署在薛城落地生根、开花结果。健全贯彻落实党中央重大决策部署闭环机制，定期开展专项督查，确保政令畅通、令行禁止。</w:t>
      </w:r>
      <w:r>
        <w:rPr>
          <w:rFonts w:hint="default" w:ascii="Times New Roman" w:hAnsi="Times New Roman" w:cs="Times New Roman"/>
          <w:color w:val="auto"/>
        </w:rPr>
        <w:t>聚力攻坚建军一百年奋斗目标，扛牢党管武装政治责任，持续推进国防动员和后备力量建设迈向更高水平。</w:t>
      </w:r>
    </w:p>
    <w:p w14:paraId="5241A8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提升党建工作质效。</w:t>
      </w:r>
      <w:r>
        <w:rPr>
          <w:rFonts w:hint="default" w:ascii="Times New Roman" w:hAnsi="Times New Roman" w:cs="Times New Roman"/>
          <w:bCs/>
          <w:sz w:val="32"/>
          <w:szCs w:val="32"/>
          <w:lang w:val="en-US" w:eastAsia="zh-CN"/>
        </w:rPr>
        <w:t>压紧压实全面从严治党政治责任，统筹推进农村、城市社区、机关、国企、学校、“两新”组织等领域基层党组织建设，深化基层党组织标准化规范化创建，打造一批可复制、可推广的党建品牌。健全和落实民主集中制，完善党委（党组）议事决策规则，提升科学决策、民主决策、依法决策水平。</w:t>
      </w:r>
    </w:p>
    <w:p w14:paraId="77EAEAD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楷体_GB2312" w:hAnsi="楷体_GB2312" w:eastAsia="楷体_GB2312" w:cs="楷体_GB2312"/>
          <w:bCs/>
          <w:sz w:val="32"/>
          <w:szCs w:val="32"/>
          <w:lang w:val="en-US" w:eastAsia="zh-CN"/>
        </w:rPr>
        <w:t>建强骨干干部队伍。</w:t>
      </w:r>
      <w:r>
        <w:rPr>
          <w:rFonts w:hint="default" w:ascii="Times New Roman" w:hAnsi="Times New Roman" w:cs="Times New Roman"/>
          <w:bCs/>
          <w:sz w:val="32"/>
          <w:szCs w:val="32"/>
          <w:lang w:val="en-US" w:eastAsia="zh-CN"/>
        </w:rPr>
        <w:t>树立正确政绩观，坚持新时代好干部标准，大力选拔政治过硬、敢于担当、锐意改革、实绩突出、清正廉洁的干部。加强干部思想淬炼、政治历练、实践锻炼、专业训练，提升推动高质量发展、服务群众、防范化解风险的能力。细化落实“三个区分开来”要求，准确运用监督执纪“四种形态”，激励干部在遵规守纪前提下安心工作、放手干事，营造干事创业的良好氛围。</w:t>
      </w:r>
    </w:p>
    <w:p w14:paraId="41A97C3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楷体_GB2312" w:hAnsi="楷体_GB2312" w:eastAsia="楷体_GB2312" w:cs="楷体_GB2312"/>
          <w:bCs/>
          <w:sz w:val="32"/>
          <w:szCs w:val="32"/>
          <w:lang w:val="en-US" w:eastAsia="zh-CN"/>
        </w:rPr>
        <w:t>深化全面从严治党。</w:t>
      </w:r>
      <w:r>
        <w:rPr>
          <w:rFonts w:hint="default" w:ascii="Times New Roman" w:hAnsi="Times New Roman" w:cs="Times New Roman"/>
          <w:bCs/>
          <w:sz w:val="32"/>
          <w:szCs w:val="32"/>
          <w:lang w:val="en-US" w:eastAsia="zh-CN"/>
        </w:rPr>
        <w:t>完善监督体系，以党内监督为主导，促进各类监督贯通协调、形成合力。锲而不舍落实中央八项规定及其实施细则精神，持续深化整治形式主义、官僚主义，切实为基层减负。深入推进党风廉政建设和反腐败斗争，聚焦重点领域和关键环节强化监督执纪问责，坚决打好反腐败斗争攻坚战、持久战，营造风清气正的良好政治生态。</w:t>
      </w:r>
    </w:p>
    <w:p w14:paraId="662CF0BE">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82" w:name="_Toc1024278876"/>
      <w:r>
        <w:rPr>
          <w:rFonts w:hint="eastAsia" w:ascii="楷体_GB2312" w:hAnsi="楷体_GB2312" w:eastAsia="楷体_GB2312" w:cs="楷体_GB2312"/>
          <w:kern w:val="21"/>
          <w:sz w:val="32"/>
          <w:szCs w:val="32"/>
          <w:highlight w:val="none"/>
          <w:lang w:val="en-US" w:eastAsia="zh-CN"/>
        </w:rPr>
        <w:t>第二节  广泛凝聚团结奋斗合力</w:t>
      </w:r>
      <w:bookmarkEnd w:id="82"/>
    </w:p>
    <w:p w14:paraId="2AF77D7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坚持人民至上，健全各界联动、全域参与的协同机制，凝聚全社会同心同向、共促发展的强大合力。</w:t>
      </w:r>
    </w:p>
    <w:p w14:paraId="0566AC2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楷体_GB2312" w:hAnsi="楷体_GB2312" w:eastAsia="楷体_GB2312" w:cs="楷体_GB2312"/>
          <w:bCs/>
          <w:sz w:val="32"/>
          <w:szCs w:val="32"/>
          <w:lang w:val="en-US" w:eastAsia="zh-CN"/>
        </w:rPr>
        <w:t>发展全过程人民民主。</w:t>
      </w:r>
      <w:r>
        <w:rPr>
          <w:rFonts w:hint="default" w:ascii="Times New Roman" w:hAnsi="Times New Roman" w:cs="Times New Roman"/>
          <w:bCs/>
          <w:sz w:val="32"/>
          <w:szCs w:val="32"/>
          <w:lang w:val="en-US" w:eastAsia="zh-CN"/>
        </w:rPr>
        <w:t>坚持人民代表大会制度，支持人大依法行使立法、监督、决定、任免等职权，围绕规划实施、重点项目建设、民生保障等关键领域强化监督问效。发挥人民政协专门协商机构作用，健全专题协商、对口协商、提案办理等机制。坚持人民主体地位，尊重群众意愿，保障群众在规划实施、政策制定中的知情权、参与权、表达权。加强和改进新形势下党的群团工作，更好地发挥工青妇等群团组织的桥梁纽带作用。</w:t>
      </w:r>
    </w:p>
    <w:p w14:paraId="38D79AF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完善大统战工作格局。</w:t>
      </w:r>
      <w:r>
        <w:rPr>
          <w:rFonts w:hint="default" w:ascii="Times New Roman" w:hAnsi="Times New Roman" w:cs="Times New Roman"/>
          <w:bCs/>
          <w:sz w:val="32"/>
          <w:szCs w:val="32"/>
          <w:lang w:val="en-US" w:eastAsia="zh-CN"/>
        </w:rPr>
        <w:t>坚持大团结大联合，统筹推进各领域统战工作。发挥民主党派、工商联和无党派人士参政议政、民主监督作用，为高质量发展建言献策。加强民营经济统战工作，优化营商环境，支持民营企业发展壮大。做好新的社会阶层人士统战工作，激发创新创业活力。深入推进中华民族共同体建设和我国宗教中国化薛城实践，依法规范宗教事务管理。广泛团结港澳台同胞和海外侨胞等爱国力量，切实做好网络统战工作。</w:t>
      </w:r>
    </w:p>
    <w:p w14:paraId="249C8EB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eastAsia" w:ascii="楷体_GB2312" w:hAnsi="楷体_GB2312" w:eastAsia="楷体_GB2312" w:cs="楷体_GB2312"/>
          <w:bCs/>
          <w:sz w:val="32"/>
          <w:szCs w:val="32"/>
          <w:lang w:val="en-US" w:eastAsia="zh-CN"/>
        </w:rPr>
        <w:t>深化军政军民团结。</w:t>
      </w:r>
      <w:r>
        <w:rPr>
          <w:rFonts w:hint="default" w:ascii="Times New Roman" w:hAnsi="Times New Roman" w:cs="Times New Roman"/>
          <w:bCs/>
          <w:sz w:val="32"/>
          <w:szCs w:val="32"/>
          <w:lang w:val="en-US" w:eastAsia="zh-CN"/>
        </w:rPr>
        <w:t>传承双拥优良传统，健全军地协同机制，推动军民融合深度发展。做好国防动员、兵役征集、退役军人服务保障、烈士纪念设施维护等工作，妥善安置退役军人，维护军人军属合法权益。军地共建共享基础设施、公共服务资源，凝聚“军爱民、民拥军”的浓厚氛围，为现代化强区建设提供坚强军政保障。</w:t>
      </w:r>
    </w:p>
    <w:p w14:paraId="3FE859EE">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80" w:lineRule="exact"/>
        <w:ind w:firstLine="0" w:firstLineChars="0"/>
        <w:jc w:val="center"/>
        <w:textAlignment w:val="auto"/>
        <w:outlineLvl w:val="1"/>
        <w:rPr>
          <w:rFonts w:hint="eastAsia" w:ascii="楷体_GB2312" w:hAnsi="楷体_GB2312" w:eastAsia="楷体_GB2312" w:cs="楷体_GB2312"/>
          <w:kern w:val="21"/>
          <w:sz w:val="32"/>
          <w:szCs w:val="32"/>
          <w:highlight w:val="none"/>
          <w:lang w:val="en-US" w:eastAsia="zh-CN"/>
        </w:rPr>
      </w:pPr>
      <w:bookmarkStart w:id="83" w:name="_Toc820343556"/>
      <w:r>
        <w:rPr>
          <w:rFonts w:hint="eastAsia" w:ascii="楷体_GB2312" w:hAnsi="楷体_GB2312" w:eastAsia="楷体_GB2312" w:cs="楷体_GB2312"/>
          <w:kern w:val="21"/>
          <w:sz w:val="32"/>
          <w:szCs w:val="32"/>
          <w:highlight w:val="none"/>
          <w:lang w:val="en-US" w:eastAsia="zh-CN"/>
        </w:rPr>
        <w:t>第三节  健全规划制定和落实机制</w:t>
      </w:r>
      <w:bookmarkEnd w:id="83"/>
    </w:p>
    <w:p w14:paraId="0C324B6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强化全区经济社会发展规划统领作用，建立规划衔接机制，将发展规划与空间规划、专项规划、年度计划有机结合起来，形成定位准确、边界清晰、功能互补、统一衔接的规划体系。健全政策协调和工作协同机制，加强对规划实施动态监测、监督问效、评估考核，提高规划执行力和落实力。全面推行政务公开和多领域办事公开，自觉接受各方监督，及时回应社会关切，提高规划实施效果。</w:t>
      </w:r>
    </w:p>
    <w:p w14:paraId="49C1A73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使命引领方向，目标汇聚力量。全区上下要更加紧密地团结在以习近平同志为核心的党中央周围，坚定信心、同心同德，勇担使命、真抓实干，为加快建设新时代社会主义现代化强区不懈奋斗。</w:t>
      </w:r>
    </w:p>
    <w:p w14:paraId="2FD61C34">
      <w:pPr>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br w:type="page"/>
      </w:r>
    </w:p>
    <w:p w14:paraId="6B1EF58C">
      <w:pPr>
        <w:pStyle w:val="2"/>
        <w:rPr>
          <w:rFonts w:hint="default"/>
          <w:lang w:val="en-US" w:eastAsia="zh-CN"/>
        </w:rPr>
      </w:pPr>
    </w:p>
    <w:p w14:paraId="3760355A">
      <w:pPr>
        <w:pStyle w:val="2"/>
        <w:rPr>
          <w:rFonts w:hint="default"/>
          <w:lang w:val="en-US" w:eastAsia="zh-CN"/>
        </w:rPr>
      </w:pPr>
    </w:p>
    <w:p w14:paraId="373A1F82">
      <w:pPr>
        <w:pStyle w:val="2"/>
        <w:rPr>
          <w:rFonts w:hint="default"/>
          <w:lang w:val="en-US" w:eastAsia="zh-CN"/>
        </w:rPr>
      </w:pPr>
    </w:p>
    <w:p w14:paraId="025D5AD1">
      <w:pPr>
        <w:pStyle w:val="2"/>
        <w:rPr>
          <w:rFonts w:hint="default"/>
          <w:lang w:val="en-US" w:eastAsia="zh-CN"/>
        </w:rPr>
      </w:pPr>
    </w:p>
    <w:p w14:paraId="5F8D36C7">
      <w:pPr>
        <w:pStyle w:val="2"/>
        <w:rPr>
          <w:rFonts w:hint="default"/>
          <w:lang w:val="en-US" w:eastAsia="zh-CN"/>
        </w:rPr>
      </w:pPr>
    </w:p>
    <w:p w14:paraId="694A7258">
      <w:pPr>
        <w:pStyle w:val="2"/>
        <w:rPr>
          <w:rFonts w:hint="default"/>
          <w:lang w:val="en-US" w:eastAsia="zh-CN"/>
        </w:rPr>
      </w:pPr>
    </w:p>
    <w:p w14:paraId="25C7AE6B">
      <w:pPr>
        <w:pStyle w:val="2"/>
        <w:rPr>
          <w:rFonts w:hint="default"/>
          <w:lang w:val="en-US" w:eastAsia="zh-CN"/>
        </w:rPr>
      </w:pPr>
    </w:p>
    <w:p w14:paraId="368A9E37">
      <w:pPr>
        <w:pStyle w:val="2"/>
        <w:rPr>
          <w:rFonts w:hint="default"/>
          <w:lang w:val="en-US" w:eastAsia="zh-CN"/>
        </w:rPr>
      </w:pPr>
    </w:p>
    <w:p w14:paraId="4B5B60F7">
      <w:pPr>
        <w:pStyle w:val="2"/>
        <w:rPr>
          <w:rFonts w:hint="default"/>
          <w:lang w:val="en-US" w:eastAsia="zh-CN"/>
        </w:rPr>
      </w:pPr>
    </w:p>
    <w:p w14:paraId="2A2C6E8D">
      <w:pPr>
        <w:pStyle w:val="2"/>
        <w:rPr>
          <w:rFonts w:hint="default"/>
          <w:lang w:val="en-US" w:eastAsia="zh-CN"/>
        </w:rPr>
      </w:pPr>
    </w:p>
    <w:p w14:paraId="5911A4A9">
      <w:pPr>
        <w:pStyle w:val="2"/>
        <w:rPr>
          <w:rFonts w:hint="default"/>
          <w:lang w:val="en-US" w:eastAsia="zh-CN"/>
        </w:rPr>
      </w:pPr>
    </w:p>
    <w:p w14:paraId="543EA226">
      <w:pPr>
        <w:pStyle w:val="2"/>
        <w:rPr>
          <w:rFonts w:hint="default"/>
          <w:lang w:val="en-US" w:eastAsia="zh-CN"/>
        </w:rPr>
      </w:pPr>
    </w:p>
    <w:p w14:paraId="5DA20505">
      <w:pPr>
        <w:pStyle w:val="2"/>
        <w:rPr>
          <w:rFonts w:hint="default"/>
          <w:lang w:val="en-US" w:eastAsia="zh-CN"/>
        </w:rPr>
      </w:pPr>
    </w:p>
    <w:p w14:paraId="3E9E7ECB">
      <w:pPr>
        <w:pStyle w:val="2"/>
        <w:rPr>
          <w:rFonts w:hint="default"/>
          <w:lang w:val="en-US" w:eastAsia="zh-CN"/>
        </w:rPr>
      </w:pPr>
    </w:p>
    <w:p w14:paraId="3357DB59">
      <w:pPr>
        <w:pStyle w:val="2"/>
        <w:rPr>
          <w:rFonts w:hint="default"/>
          <w:lang w:val="en-US" w:eastAsia="zh-CN"/>
        </w:rPr>
      </w:pPr>
    </w:p>
    <w:p w14:paraId="671427F9">
      <w:pPr>
        <w:pStyle w:val="2"/>
        <w:rPr>
          <w:rFonts w:hint="default"/>
          <w:lang w:val="en-US" w:eastAsia="zh-CN"/>
        </w:rPr>
      </w:pPr>
    </w:p>
    <w:p w14:paraId="450B1B95">
      <w:pPr>
        <w:pStyle w:val="2"/>
        <w:rPr>
          <w:rFonts w:hint="default"/>
          <w:lang w:val="en-US" w:eastAsia="zh-CN"/>
        </w:rPr>
      </w:pPr>
    </w:p>
    <w:p w14:paraId="0B0D359C">
      <w:pPr>
        <w:pStyle w:val="2"/>
        <w:rPr>
          <w:rFonts w:hint="default"/>
          <w:lang w:val="en-US" w:eastAsia="zh-CN"/>
        </w:rPr>
      </w:pPr>
    </w:p>
    <w:p w14:paraId="7A6A47D2">
      <w:pPr>
        <w:pStyle w:val="2"/>
        <w:ind w:left="0" w:leftChars="0" w:firstLine="0" w:firstLineChars="0"/>
        <w:jc w:val="both"/>
        <w:rPr>
          <w:rFonts w:hint="default"/>
          <w:lang w:val="en-US" w:eastAsia="zh-CN"/>
        </w:rPr>
      </w:pPr>
    </w:p>
    <w:p w14:paraId="448AFC59">
      <w:pPr>
        <w:pStyle w:val="7"/>
        <w:rPr>
          <w:rFonts w:hint="default" w:ascii="Times New Roman" w:hAnsi="Times New Roman" w:eastAsia="仿宋_GB2312" w:cs="Times New Roman"/>
          <w:sz w:val="32"/>
          <w:szCs w:val="32"/>
        </w:rPr>
      </w:pPr>
    </w:p>
    <w:p w14:paraId="55317F2F">
      <w:pPr>
        <w:keepNext w:val="0"/>
        <w:keepLines w:val="0"/>
        <w:pageBreakBefore w:val="0"/>
        <w:widowControl w:val="0"/>
        <w:kinsoku/>
        <w:wordWrap/>
        <w:topLinePunct w:val="0"/>
        <w:autoSpaceDE/>
        <w:autoSpaceDN/>
        <w:bidi w:val="0"/>
        <w:adjustRightInd/>
        <w:snapToGrid/>
        <w:spacing w:line="600" w:lineRule="exact"/>
        <w:ind w:firstLine="280" w:firstLineChars="100"/>
        <w:textAlignment w:val="auto"/>
        <w:rPr>
          <w:rFonts w:hint="default"/>
          <w:lang w:val="en-US" w:eastAsia="zh-CN"/>
        </w:rPr>
      </w:pPr>
      <w:r>
        <w:rPr>
          <w:rFonts w:hint="default" w:ascii="Times New Roman" w:hAnsi="Times New Roman" w:cs="Times New Roman"/>
          <w:sz w:val="28"/>
        </w:rPr>
        <mc:AlternateContent>
          <mc:Choice Requires="wps">
            <w:drawing>
              <wp:anchor distT="0" distB="0" distL="114300" distR="114300" simplePos="0" relativeHeight="251662336" behindDoc="0" locked="0" layoutInCell="1" allowOverlap="1">
                <wp:simplePos x="0" y="0"/>
                <wp:positionH relativeFrom="column">
                  <wp:posOffset>-64770</wp:posOffset>
                </wp:positionH>
                <wp:positionV relativeFrom="paragraph">
                  <wp:posOffset>374015</wp:posOffset>
                </wp:positionV>
                <wp:extent cx="5528945"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52894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1pt;margin-top:29.45pt;height:0.05pt;width:435.35pt;z-index:251662336;mso-width-relative:page;mso-height-relative:page;" filled="f" stroked="t" coordsize="21600,21600" o:gfxdata="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r9eltcAAAAJAQAADwAAAAAAAAABACAAAAAiAAAAZHJzL2Rvd25yZXYueG1sUEsB&#10;AhQAFAAAAAgAh07iQNN8/3b2AQAA5gMAAA4AAAAAAAAAAQAgAAAAJ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cs="Times New Roman"/>
          <w:sz w:val="28"/>
        </w:rPr>
        <mc:AlternateContent>
          <mc:Choice Requires="wps">
            <w:drawing>
              <wp:anchor distT="0" distB="0" distL="114300" distR="114300" simplePos="0" relativeHeight="251661312" behindDoc="0" locked="0" layoutInCell="1" allowOverlap="1">
                <wp:simplePos x="0" y="0"/>
                <wp:positionH relativeFrom="column">
                  <wp:posOffset>-56515</wp:posOffset>
                </wp:positionH>
                <wp:positionV relativeFrom="paragraph">
                  <wp:posOffset>94615</wp:posOffset>
                </wp:positionV>
                <wp:extent cx="552894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52894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45pt;margin-top:7.45pt;height:0.05pt;width:435.35pt;z-index:251661312;mso-width-relative:page;mso-height-relative:page;" filled="f" stroked="t" coordsize="21600,21600" o:gfxdata="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QlpKq1AAAAAgBAAAPAAAAAAAAAAEAIAAAACIAAABkcnMvZG93bnJldi54bWxQSwECFAAU&#10;AAAACACHTuJA2pf9vvUBAADmAwAADgAAAAAAAAABACAAAAAjAQAAZHJzL2Uyb0RvYy54bWxQSwUG&#10;AAAAAAYABgBZAQAAig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薛城区人民政府办公室                </w:t>
      </w:r>
      <w:r>
        <w:rPr>
          <w:rFonts w:hint="eastAsia"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  202</w:t>
      </w:r>
      <w:r>
        <w:rPr>
          <w:rFonts w:hint="eastAsia" w:ascii="Times New Roman" w:hAnsi="Times New Roman" w:cs="Times New Roman"/>
          <w:sz w:val="28"/>
          <w:szCs w:val="28"/>
          <w:lang w:val="en-US" w:eastAsia="zh-CN"/>
        </w:rPr>
        <w:t>6</w:t>
      </w:r>
      <w:r>
        <w:rPr>
          <w:rFonts w:hint="default" w:ascii="Times New Roman" w:hAnsi="Times New Roman" w:eastAsia="仿宋_GB2312" w:cs="Times New Roman"/>
          <w:sz w:val="28"/>
          <w:szCs w:val="28"/>
        </w:rPr>
        <w:t>年</w:t>
      </w:r>
      <w:r>
        <w:rPr>
          <w:rFonts w:hint="eastAsia" w:ascii="Times New Roman" w:hAnsi="Times New Roman" w:cs="Times New Roman"/>
          <w:sz w:val="28"/>
          <w:szCs w:val="28"/>
          <w:lang w:val="en-US" w:eastAsia="zh-CN"/>
        </w:rPr>
        <w:t>7</w:t>
      </w:r>
      <w:r>
        <w:rPr>
          <w:rFonts w:hint="default" w:ascii="Times New Roman" w:hAnsi="Times New Roman" w:eastAsia="仿宋_GB2312" w:cs="Times New Roman"/>
          <w:sz w:val="28"/>
          <w:szCs w:val="28"/>
        </w:rPr>
        <w:t>月</w:t>
      </w:r>
      <w:r>
        <w:rPr>
          <w:rFonts w:hint="eastAsia" w:ascii="Times New Roman" w:hAnsi="Times New Roman" w:cs="Times New Roman"/>
          <w:sz w:val="28"/>
          <w:szCs w:val="28"/>
          <w:lang w:val="en-US" w:eastAsia="zh-CN"/>
        </w:rPr>
        <w:t>16</w:t>
      </w:r>
      <w:r>
        <w:rPr>
          <w:rFonts w:hint="default" w:ascii="Times New Roman" w:hAnsi="Times New Roman" w:eastAsia="仿宋_GB2312" w:cs="Times New Roman"/>
          <w:sz w:val="28"/>
          <w:szCs w:val="28"/>
        </w:rPr>
        <w:t>日印发</w:t>
      </w:r>
    </w:p>
    <w:sectPr>
      <w:footerReference r:id="rId7" w:type="default"/>
      <w:pgSz w:w="11906" w:h="16838"/>
      <w:pgMar w:top="1701" w:right="1701" w:bottom="1701" w:left="1701"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EAF2618-6373-4484-89CA-C58F53E954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E0B45BA8-7B2A-4F19-B254-B9E035D20A65}"/>
  </w:font>
  <w:font w:name="仿宋">
    <w:panose1 w:val="02010609060101010101"/>
    <w:charset w:val="86"/>
    <w:family w:val="auto"/>
    <w:pitch w:val="default"/>
    <w:sig w:usb0="800002BF" w:usb1="38CF7CFA" w:usb2="00000016" w:usb3="00000000" w:csb0="00040001" w:csb1="00000000"/>
    <w:embedRegular r:id="rId3" w:fontKey="{F274CD6B-D543-48E5-BCA3-7F45D713059C}"/>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embedRegular r:id="rId4" w:fontKey="{121A9A0F-F18A-499D-89F3-9F86657B6014}"/>
  </w:font>
  <w:font w:name="华文中宋">
    <w:altName w:val="宋体"/>
    <w:panose1 w:val="02010600040101010101"/>
    <w:charset w:val="86"/>
    <w:family w:val="auto"/>
    <w:pitch w:val="default"/>
    <w:sig w:usb0="00000000" w:usb1="00000000" w:usb2="00000000" w:usb3="00000000" w:csb0="0004009F" w:csb1="DFD70000"/>
    <w:embedRegular r:id="rId5" w:fontKey="{2AE1FA7F-737F-4136-8EF2-E208C2DA35B6}"/>
  </w:font>
  <w:font w:name="方正小标宋简体">
    <w:panose1 w:val="03000509000000000000"/>
    <w:charset w:val="86"/>
    <w:family w:val="auto"/>
    <w:pitch w:val="default"/>
    <w:sig w:usb0="00000001" w:usb1="080E0000" w:usb2="00000000" w:usb3="00000000" w:csb0="00040000" w:csb1="00000000"/>
    <w:embedRegular r:id="rId6" w:fontKey="{5FD9EAE2-9E84-4BEF-971F-6EA89CFC9F54}"/>
  </w:font>
  <w:font w:name="方正小标宋_GBK">
    <w:panose1 w:val="02000000000000000000"/>
    <w:charset w:val="86"/>
    <w:family w:val="auto"/>
    <w:pitch w:val="default"/>
    <w:sig w:usb0="A00002BF" w:usb1="38CF7CFA" w:usb2="00082016" w:usb3="00000000" w:csb0="00040001" w:csb1="00000000"/>
    <w:embedRegular r:id="rId7" w:fontKey="{C184F839-F619-425B-B2E0-7C057FDAB063}"/>
  </w:font>
  <w:font w:name="楷体">
    <w:panose1 w:val="02010609060101010101"/>
    <w:charset w:val="86"/>
    <w:family w:val="auto"/>
    <w:pitch w:val="default"/>
    <w:sig w:usb0="800002BF" w:usb1="38CF7CFA" w:usb2="00000016" w:usb3="00000000" w:csb0="00040001" w:csb1="00000000"/>
    <w:embedRegular r:id="rId8" w:fontKey="{189672A8-7012-4F47-BB8A-BC965422B0C9}"/>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A6FE1">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F1289">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7FD45">
    <w:pPr>
      <w:pStyle w:val="10"/>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62DE6">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362DE6">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CE9FBD"/>
    <w:multiLevelType w:val="singleLevel"/>
    <w:tmpl w:val="EDCE9FBD"/>
    <w:lvl w:ilvl="0" w:tentative="0">
      <w:start w:val="3"/>
      <w:numFmt w:val="chineseCounting"/>
      <w:suff w:val="space"/>
      <w:lvlText w:val="第%1章"/>
      <w:lvlJc w:val="left"/>
      <w:rPr>
        <w:rFonts w:hint="eastAsia"/>
      </w:rPr>
    </w:lvl>
  </w:abstractNum>
  <w:abstractNum w:abstractNumId="1">
    <w:nsid w:val="00000004"/>
    <w:multiLevelType w:val="multilevel"/>
    <w:tmpl w:val="00000004"/>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lang w:val="en-US"/>
      </w:rPr>
    </w:lvl>
    <w:lvl w:ilvl="3" w:tentative="0">
      <w:start w:val="1"/>
      <w:numFmt w:val="decimal"/>
      <w:lvlText w:val="%1.%2.%3.%4"/>
      <w:lvlJc w:val="left"/>
      <w:pPr>
        <w:ind w:left="850" w:hanging="708"/>
      </w:pPr>
      <w:rPr>
        <w:rFonts w:hint="eastAsia"/>
      </w:rPr>
    </w:lvl>
    <w:lvl w:ilvl="4" w:tentative="0">
      <w:start w:val="1"/>
      <w:numFmt w:val="decimal"/>
      <w:pStyle w:val="4"/>
      <w:lvlText w:val="%1.%2.%3.%4.%5"/>
      <w:lvlJc w:val="left"/>
      <w:pPr>
        <w:ind w:left="2551" w:hanging="850"/>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B669E"/>
    <w:rsid w:val="00CF3B6D"/>
    <w:rsid w:val="00DB6928"/>
    <w:rsid w:val="00F34E4D"/>
    <w:rsid w:val="01503C08"/>
    <w:rsid w:val="015D63A3"/>
    <w:rsid w:val="01AA1AC9"/>
    <w:rsid w:val="01EB193A"/>
    <w:rsid w:val="026922DC"/>
    <w:rsid w:val="03D45F38"/>
    <w:rsid w:val="0441634A"/>
    <w:rsid w:val="04425B09"/>
    <w:rsid w:val="044F0706"/>
    <w:rsid w:val="04803036"/>
    <w:rsid w:val="04DD1CB8"/>
    <w:rsid w:val="0559183C"/>
    <w:rsid w:val="058E2DCE"/>
    <w:rsid w:val="05BC5E17"/>
    <w:rsid w:val="05D80F14"/>
    <w:rsid w:val="06297CFE"/>
    <w:rsid w:val="065C678D"/>
    <w:rsid w:val="067B79B2"/>
    <w:rsid w:val="068810C4"/>
    <w:rsid w:val="068E5934"/>
    <w:rsid w:val="06F01CF1"/>
    <w:rsid w:val="06F23CF7"/>
    <w:rsid w:val="0701495B"/>
    <w:rsid w:val="072228EC"/>
    <w:rsid w:val="074F755C"/>
    <w:rsid w:val="075F6EB2"/>
    <w:rsid w:val="0789730C"/>
    <w:rsid w:val="078D1C71"/>
    <w:rsid w:val="07927F8D"/>
    <w:rsid w:val="07AD3B8F"/>
    <w:rsid w:val="07FA27D1"/>
    <w:rsid w:val="081F4D65"/>
    <w:rsid w:val="083178C2"/>
    <w:rsid w:val="09047592"/>
    <w:rsid w:val="09335A0F"/>
    <w:rsid w:val="098E4889"/>
    <w:rsid w:val="098F7F23"/>
    <w:rsid w:val="09CF4D4B"/>
    <w:rsid w:val="09EB41C0"/>
    <w:rsid w:val="0A4845F0"/>
    <w:rsid w:val="0AEA2F37"/>
    <w:rsid w:val="0B5605CC"/>
    <w:rsid w:val="0BB103C0"/>
    <w:rsid w:val="0C1678BE"/>
    <w:rsid w:val="0CFD496E"/>
    <w:rsid w:val="0D3F3AC0"/>
    <w:rsid w:val="0D643FBA"/>
    <w:rsid w:val="0D7E6DF0"/>
    <w:rsid w:val="0D9A199E"/>
    <w:rsid w:val="0DE1647A"/>
    <w:rsid w:val="0E452C88"/>
    <w:rsid w:val="0F792C6B"/>
    <w:rsid w:val="0FDD6D1E"/>
    <w:rsid w:val="103250DB"/>
    <w:rsid w:val="10A16F51"/>
    <w:rsid w:val="10A84010"/>
    <w:rsid w:val="111C0D5B"/>
    <w:rsid w:val="112F5B47"/>
    <w:rsid w:val="11910E95"/>
    <w:rsid w:val="11B55AD3"/>
    <w:rsid w:val="13245F69"/>
    <w:rsid w:val="132A4818"/>
    <w:rsid w:val="136864BE"/>
    <w:rsid w:val="13687942"/>
    <w:rsid w:val="136D4B25"/>
    <w:rsid w:val="13A07BA9"/>
    <w:rsid w:val="13A9004F"/>
    <w:rsid w:val="13C72C75"/>
    <w:rsid w:val="13DB5FC6"/>
    <w:rsid w:val="140A3D71"/>
    <w:rsid w:val="140B38DD"/>
    <w:rsid w:val="14431256"/>
    <w:rsid w:val="14E9617B"/>
    <w:rsid w:val="153F195C"/>
    <w:rsid w:val="15C06BE8"/>
    <w:rsid w:val="15D26542"/>
    <w:rsid w:val="167B42E9"/>
    <w:rsid w:val="169200E1"/>
    <w:rsid w:val="172F6697"/>
    <w:rsid w:val="173B6496"/>
    <w:rsid w:val="174721C5"/>
    <w:rsid w:val="175400B6"/>
    <w:rsid w:val="17654669"/>
    <w:rsid w:val="17B6418E"/>
    <w:rsid w:val="17CA1F51"/>
    <w:rsid w:val="18117512"/>
    <w:rsid w:val="182F0E30"/>
    <w:rsid w:val="183161AC"/>
    <w:rsid w:val="188624CB"/>
    <w:rsid w:val="189E4141"/>
    <w:rsid w:val="195030CD"/>
    <w:rsid w:val="195F13C9"/>
    <w:rsid w:val="19D57972"/>
    <w:rsid w:val="1A046CA1"/>
    <w:rsid w:val="1A5059BF"/>
    <w:rsid w:val="1A507375"/>
    <w:rsid w:val="1AA22341"/>
    <w:rsid w:val="1AA61B63"/>
    <w:rsid w:val="1B3C199B"/>
    <w:rsid w:val="1C1574A3"/>
    <w:rsid w:val="1C370D24"/>
    <w:rsid w:val="1C3C0E8E"/>
    <w:rsid w:val="1C470CE9"/>
    <w:rsid w:val="1CEA4D85"/>
    <w:rsid w:val="1D110256"/>
    <w:rsid w:val="1D1811A9"/>
    <w:rsid w:val="1D4C0775"/>
    <w:rsid w:val="1DD17A03"/>
    <w:rsid w:val="1E452429"/>
    <w:rsid w:val="1EBA782A"/>
    <w:rsid w:val="1EFC5F9B"/>
    <w:rsid w:val="1F391390"/>
    <w:rsid w:val="1FC62628"/>
    <w:rsid w:val="1FD3016F"/>
    <w:rsid w:val="1FF45877"/>
    <w:rsid w:val="20432A09"/>
    <w:rsid w:val="207034F9"/>
    <w:rsid w:val="20B22B28"/>
    <w:rsid w:val="20B66206"/>
    <w:rsid w:val="20EB71EB"/>
    <w:rsid w:val="210632F4"/>
    <w:rsid w:val="216B6728"/>
    <w:rsid w:val="21E02067"/>
    <w:rsid w:val="229D6E1A"/>
    <w:rsid w:val="23341870"/>
    <w:rsid w:val="23FC144B"/>
    <w:rsid w:val="247B4ED4"/>
    <w:rsid w:val="24C3537C"/>
    <w:rsid w:val="24CE2B78"/>
    <w:rsid w:val="24EE4AF3"/>
    <w:rsid w:val="25B476ED"/>
    <w:rsid w:val="25B8396A"/>
    <w:rsid w:val="25ED2A15"/>
    <w:rsid w:val="262D3EB1"/>
    <w:rsid w:val="26C91970"/>
    <w:rsid w:val="26D83255"/>
    <w:rsid w:val="2777C7DF"/>
    <w:rsid w:val="27D35027"/>
    <w:rsid w:val="27F35233"/>
    <w:rsid w:val="28120748"/>
    <w:rsid w:val="28225ABD"/>
    <w:rsid w:val="28BB393F"/>
    <w:rsid w:val="2926300F"/>
    <w:rsid w:val="293D6BFB"/>
    <w:rsid w:val="298A70C6"/>
    <w:rsid w:val="2A3A0118"/>
    <w:rsid w:val="2A9B7D4B"/>
    <w:rsid w:val="2ADC6191"/>
    <w:rsid w:val="2B7B763A"/>
    <w:rsid w:val="2B9A462A"/>
    <w:rsid w:val="2C284AB7"/>
    <w:rsid w:val="2C4FAB43"/>
    <w:rsid w:val="2C806056"/>
    <w:rsid w:val="2C840FE5"/>
    <w:rsid w:val="2CE43832"/>
    <w:rsid w:val="2D85286F"/>
    <w:rsid w:val="2DA628BB"/>
    <w:rsid w:val="2DBFFF0B"/>
    <w:rsid w:val="2E455D64"/>
    <w:rsid w:val="2E993160"/>
    <w:rsid w:val="2F1011C2"/>
    <w:rsid w:val="2F2E6FE6"/>
    <w:rsid w:val="2F496394"/>
    <w:rsid w:val="2F754B29"/>
    <w:rsid w:val="2FDD4FB9"/>
    <w:rsid w:val="302A4D78"/>
    <w:rsid w:val="306C2DDF"/>
    <w:rsid w:val="309061AB"/>
    <w:rsid w:val="30C77358"/>
    <w:rsid w:val="31BB7257"/>
    <w:rsid w:val="32161729"/>
    <w:rsid w:val="323E3DD2"/>
    <w:rsid w:val="329F26CF"/>
    <w:rsid w:val="33171402"/>
    <w:rsid w:val="33483B2E"/>
    <w:rsid w:val="34146A1A"/>
    <w:rsid w:val="34160775"/>
    <w:rsid w:val="342336A3"/>
    <w:rsid w:val="3428494C"/>
    <w:rsid w:val="3473376B"/>
    <w:rsid w:val="34897BCA"/>
    <w:rsid w:val="353D7F83"/>
    <w:rsid w:val="358113A3"/>
    <w:rsid w:val="35E90932"/>
    <w:rsid w:val="35FB6B82"/>
    <w:rsid w:val="36300A0C"/>
    <w:rsid w:val="36323721"/>
    <w:rsid w:val="36811C57"/>
    <w:rsid w:val="36BF3346"/>
    <w:rsid w:val="373E1134"/>
    <w:rsid w:val="377D14ED"/>
    <w:rsid w:val="37BB250F"/>
    <w:rsid w:val="37BD53AB"/>
    <w:rsid w:val="38084C4B"/>
    <w:rsid w:val="382E65D9"/>
    <w:rsid w:val="38553E03"/>
    <w:rsid w:val="38927AA1"/>
    <w:rsid w:val="389E6F8B"/>
    <w:rsid w:val="38A74091"/>
    <w:rsid w:val="38C02510"/>
    <w:rsid w:val="393B40DE"/>
    <w:rsid w:val="39597E07"/>
    <w:rsid w:val="39E14CA4"/>
    <w:rsid w:val="3A0F193F"/>
    <w:rsid w:val="3A237BBD"/>
    <w:rsid w:val="3A7B20EA"/>
    <w:rsid w:val="3AED5FA8"/>
    <w:rsid w:val="3B02630E"/>
    <w:rsid w:val="3B1D4ADF"/>
    <w:rsid w:val="3B8C3021"/>
    <w:rsid w:val="3BC91E60"/>
    <w:rsid w:val="3CCB3A9B"/>
    <w:rsid w:val="3D4F4CF8"/>
    <w:rsid w:val="3F0A537A"/>
    <w:rsid w:val="3F976B66"/>
    <w:rsid w:val="3F9D7F9C"/>
    <w:rsid w:val="3FC70EF6"/>
    <w:rsid w:val="3FFD095F"/>
    <w:rsid w:val="400C4D0F"/>
    <w:rsid w:val="40500AA4"/>
    <w:rsid w:val="40AD186C"/>
    <w:rsid w:val="419C74B1"/>
    <w:rsid w:val="41AE0915"/>
    <w:rsid w:val="41B1595C"/>
    <w:rsid w:val="41BD577A"/>
    <w:rsid w:val="41C20F33"/>
    <w:rsid w:val="420C1409"/>
    <w:rsid w:val="42412D52"/>
    <w:rsid w:val="42984350"/>
    <w:rsid w:val="42AB4A81"/>
    <w:rsid w:val="42BD666A"/>
    <w:rsid w:val="42D957F0"/>
    <w:rsid w:val="4337086A"/>
    <w:rsid w:val="43BF579D"/>
    <w:rsid w:val="43FD725B"/>
    <w:rsid w:val="44374472"/>
    <w:rsid w:val="4453001B"/>
    <w:rsid w:val="448C7C04"/>
    <w:rsid w:val="44E15A3F"/>
    <w:rsid w:val="45331118"/>
    <w:rsid w:val="459D6A2B"/>
    <w:rsid w:val="460D6FAC"/>
    <w:rsid w:val="466E0385"/>
    <w:rsid w:val="46E710FF"/>
    <w:rsid w:val="472D60AA"/>
    <w:rsid w:val="480D0539"/>
    <w:rsid w:val="48101CF6"/>
    <w:rsid w:val="48586A23"/>
    <w:rsid w:val="486E697A"/>
    <w:rsid w:val="48C42A3E"/>
    <w:rsid w:val="48F14EB5"/>
    <w:rsid w:val="49300487"/>
    <w:rsid w:val="49BB4F03"/>
    <w:rsid w:val="49CB0D49"/>
    <w:rsid w:val="49F91041"/>
    <w:rsid w:val="4A31270D"/>
    <w:rsid w:val="4A8C7B92"/>
    <w:rsid w:val="4ACB2484"/>
    <w:rsid w:val="4ADE0A82"/>
    <w:rsid w:val="4B09046A"/>
    <w:rsid w:val="4B196789"/>
    <w:rsid w:val="4B585AD5"/>
    <w:rsid w:val="4BA958C5"/>
    <w:rsid w:val="4BB90E54"/>
    <w:rsid w:val="4BC10982"/>
    <w:rsid w:val="4BFF06FD"/>
    <w:rsid w:val="4C771B5E"/>
    <w:rsid w:val="4C7E710A"/>
    <w:rsid w:val="4D037FFD"/>
    <w:rsid w:val="4D3E79DD"/>
    <w:rsid w:val="4D7710C6"/>
    <w:rsid w:val="4D906634"/>
    <w:rsid w:val="4EF631DB"/>
    <w:rsid w:val="4F344880"/>
    <w:rsid w:val="50067498"/>
    <w:rsid w:val="500D0F48"/>
    <w:rsid w:val="50913BDC"/>
    <w:rsid w:val="51003076"/>
    <w:rsid w:val="51DC0B34"/>
    <w:rsid w:val="51DF314A"/>
    <w:rsid w:val="521E31BF"/>
    <w:rsid w:val="5314059C"/>
    <w:rsid w:val="53246D5E"/>
    <w:rsid w:val="53F635E6"/>
    <w:rsid w:val="54534C76"/>
    <w:rsid w:val="54907C78"/>
    <w:rsid w:val="54FA73E7"/>
    <w:rsid w:val="552F223C"/>
    <w:rsid w:val="55C16678"/>
    <w:rsid w:val="55E37F21"/>
    <w:rsid w:val="5661533C"/>
    <w:rsid w:val="57A21CA9"/>
    <w:rsid w:val="57C21322"/>
    <w:rsid w:val="57CA695B"/>
    <w:rsid w:val="580D3F9C"/>
    <w:rsid w:val="58AD0DB5"/>
    <w:rsid w:val="59084475"/>
    <w:rsid w:val="59341153"/>
    <w:rsid w:val="59367040"/>
    <w:rsid w:val="5AC95C92"/>
    <w:rsid w:val="5B0D3050"/>
    <w:rsid w:val="5B7C0F56"/>
    <w:rsid w:val="5C4F33EF"/>
    <w:rsid w:val="5CAD0C2F"/>
    <w:rsid w:val="5CBD2518"/>
    <w:rsid w:val="5DB65C31"/>
    <w:rsid w:val="5E0C4B4C"/>
    <w:rsid w:val="5E4A56CF"/>
    <w:rsid w:val="5E5B7ACB"/>
    <w:rsid w:val="5F976774"/>
    <w:rsid w:val="601D3857"/>
    <w:rsid w:val="60C06D6B"/>
    <w:rsid w:val="60D25960"/>
    <w:rsid w:val="60E16EE0"/>
    <w:rsid w:val="60FF6137"/>
    <w:rsid w:val="61870C6E"/>
    <w:rsid w:val="6237390F"/>
    <w:rsid w:val="62425D42"/>
    <w:rsid w:val="62506307"/>
    <w:rsid w:val="62C073FA"/>
    <w:rsid w:val="62FF3C20"/>
    <w:rsid w:val="63057105"/>
    <w:rsid w:val="63C35930"/>
    <w:rsid w:val="64BA14CA"/>
    <w:rsid w:val="65056BB9"/>
    <w:rsid w:val="65317145"/>
    <w:rsid w:val="653B778C"/>
    <w:rsid w:val="664A33C2"/>
    <w:rsid w:val="664A6B71"/>
    <w:rsid w:val="66DB1BF2"/>
    <w:rsid w:val="66DBD666"/>
    <w:rsid w:val="671E1B58"/>
    <w:rsid w:val="67746C30"/>
    <w:rsid w:val="677470CE"/>
    <w:rsid w:val="67FB6822"/>
    <w:rsid w:val="685D1B4E"/>
    <w:rsid w:val="68736CA2"/>
    <w:rsid w:val="68D17906"/>
    <w:rsid w:val="68D57C80"/>
    <w:rsid w:val="69030CF9"/>
    <w:rsid w:val="69701C8D"/>
    <w:rsid w:val="6983090D"/>
    <w:rsid w:val="69C03856"/>
    <w:rsid w:val="6A096E2C"/>
    <w:rsid w:val="6A681023"/>
    <w:rsid w:val="6BBD4920"/>
    <w:rsid w:val="6BC56340"/>
    <w:rsid w:val="6BD821D8"/>
    <w:rsid w:val="6BF018DD"/>
    <w:rsid w:val="6BF1329A"/>
    <w:rsid w:val="6BF77968"/>
    <w:rsid w:val="6C9B38E2"/>
    <w:rsid w:val="6CBD7C6C"/>
    <w:rsid w:val="6CEB26A7"/>
    <w:rsid w:val="6D063829"/>
    <w:rsid w:val="6D0D1459"/>
    <w:rsid w:val="6D296D16"/>
    <w:rsid w:val="6D7D5938"/>
    <w:rsid w:val="6DDBC743"/>
    <w:rsid w:val="6DF1704B"/>
    <w:rsid w:val="6E6B174F"/>
    <w:rsid w:val="6E7D3827"/>
    <w:rsid w:val="6ECD015C"/>
    <w:rsid w:val="6FBF13BB"/>
    <w:rsid w:val="6FFB6495"/>
    <w:rsid w:val="70611B52"/>
    <w:rsid w:val="71677CD4"/>
    <w:rsid w:val="727070F2"/>
    <w:rsid w:val="72C15774"/>
    <w:rsid w:val="72FF0FFF"/>
    <w:rsid w:val="731A6CE3"/>
    <w:rsid w:val="737A4EBB"/>
    <w:rsid w:val="73FEE8FE"/>
    <w:rsid w:val="74354F3D"/>
    <w:rsid w:val="746C0C97"/>
    <w:rsid w:val="74BD01BD"/>
    <w:rsid w:val="74BE2E09"/>
    <w:rsid w:val="74FB1C4B"/>
    <w:rsid w:val="754877D0"/>
    <w:rsid w:val="758D1214"/>
    <w:rsid w:val="75A46EAA"/>
    <w:rsid w:val="75E17EDC"/>
    <w:rsid w:val="76250EB2"/>
    <w:rsid w:val="76300779"/>
    <w:rsid w:val="768C680C"/>
    <w:rsid w:val="768D6326"/>
    <w:rsid w:val="76C90D1C"/>
    <w:rsid w:val="76E77BD4"/>
    <w:rsid w:val="76F8794E"/>
    <w:rsid w:val="770939D7"/>
    <w:rsid w:val="772D4C09"/>
    <w:rsid w:val="77AA4341"/>
    <w:rsid w:val="77D00A36"/>
    <w:rsid w:val="77FB2E77"/>
    <w:rsid w:val="785A6376"/>
    <w:rsid w:val="788F15E1"/>
    <w:rsid w:val="791505C8"/>
    <w:rsid w:val="796721E3"/>
    <w:rsid w:val="79B041A6"/>
    <w:rsid w:val="7A2330F1"/>
    <w:rsid w:val="7AD61081"/>
    <w:rsid w:val="7AE70FAA"/>
    <w:rsid w:val="7B3E0E24"/>
    <w:rsid w:val="7B5FF9E5"/>
    <w:rsid w:val="7B8D72B8"/>
    <w:rsid w:val="7BDF8EBE"/>
    <w:rsid w:val="7C151259"/>
    <w:rsid w:val="7CD3056C"/>
    <w:rsid w:val="7CFB0DFC"/>
    <w:rsid w:val="7D044376"/>
    <w:rsid w:val="7D0B042F"/>
    <w:rsid w:val="7D254B52"/>
    <w:rsid w:val="7D801440"/>
    <w:rsid w:val="7E1F26A6"/>
    <w:rsid w:val="7E300442"/>
    <w:rsid w:val="7E561825"/>
    <w:rsid w:val="7EAF5D29"/>
    <w:rsid w:val="7F3B66DB"/>
    <w:rsid w:val="7FCA19E0"/>
    <w:rsid w:val="7FCC72C2"/>
    <w:rsid w:val="8AEF45E4"/>
    <w:rsid w:val="A7E7D73C"/>
    <w:rsid w:val="AF6EB098"/>
    <w:rsid w:val="BFCE14BD"/>
    <w:rsid w:val="D76FA18E"/>
    <w:rsid w:val="D7D768A5"/>
    <w:rsid w:val="DDDFA01F"/>
    <w:rsid w:val="DF4FBC8C"/>
    <w:rsid w:val="DF6FE7B9"/>
    <w:rsid w:val="DFF7A85D"/>
    <w:rsid w:val="E79EA274"/>
    <w:rsid w:val="E9E45365"/>
    <w:rsid w:val="F2F12069"/>
    <w:rsid w:val="F63FCDD3"/>
    <w:rsid w:val="FA798406"/>
    <w:rsid w:val="FD0F802D"/>
    <w:rsid w:val="FF6F0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420" w:firstLineChars="200"/>
      <w:jc w:val="both"/>
    </w:pPr>
    <w:rPr>
      <w:rFonts w:ascii="宋体" w:hAnsi="宋体" w:eastAsia="仿宋_GB2312" w:cstheme="minorBidi"/>
      <w:kern w:val="2"/>
      <w:sz w:val="32"/>
      <w:szCs w:val="24"/>
      <w:lang w:val="en-US" w:eastAsia="zh-CN" w:bidi="ar-SA"/>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paragraph" w:styleId="4">
    <w:name w:val="heading 5"/>
    <w:basedOn w:val="1"/>
    <w:next w:val="1"/>
    <w:qFormat/>
    <w:uiPriority w:val="0"/>
    <w:pPr>
      <w:keepNext/>
      <w:keepLines/>
      <w:numPr>
        <w:ilvl w:val="4"/>
        <w:numId w:val="1"/>
      </w:numPr>
      <w:ind w:left="851" w:hanging="851"/>
      <w:outlineLvl w:val="4"/>
    </w:pPr>
    <w:rPr>
      <w:b/>
      <w:szCs w:val="28"/>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正文缩进1"/>
    <w:autoRedefine/>
    <w:qFormat/>
    <w:uiPriority w:val="99"/>
    <w:pPr>
      <w:widowControl w:val="0"/>
      <w:ind w:firstLine="420" w:firstLineChars="200"/>
      <w:jc w:val="center"/>
    </w:pPr>
    <w:rPr>
      <w:rFonts w:ascii="Times New Roman" w:hAnsi="Times New Roman" w:eastAsia="仿宋_GB2312" w:cs="Times New Roman"/>
      <w:bCs/>
      <w:kern w:val="2"/>
      <w:sz w:val="32"/>
      <w:szCs w:val="32"/>
      <w:lang w:val="en-US" w:eastAsia="zh-CN" w:bidi="ar-SA"/>
    </w:rPr>
  </w:style>
  <w:style w:type="paragraph" w:styleId="5">
    <w:name w:val="Normal Indent"/>
    <w:basedOn w:val="1"/>
    <w:next w:val="1"/>
    <w:qFormat/>
    <w:uiPriority w:val="99"/>
    <w:pPr>
      <w:ind w:firstLine="880" w:firstLineChars="200"/>
    </w:pPr>
  </w:style>
  <w:style w:type="paragraph" w:styleId="6">
    <w:name w:val="annotation text"/>
    <w:basedOn w:val="1"/>
    <w:qFormat/>
    <w:uiPriority w:val="0"/>
    <w:pPr>
      <w:jc w:val="left"/>
    </w:pPr>
  </w:style>
  <w:style w:type="paragraph" w:styleId="7">
    <w:name w:val="Body Text"/>
    <w:basedOn w:val="1"/>
    <w:unhideWhenUsed/>
    <w:qFormat/>
    <w:uiPriority w:val="99"/>
    <w:pPr>
      <w:widowControl w:val="0"/>
      <w:spacing w:after="120"/>
      <w:jc w:val="both"/>
    </w:pPr>
    <w:rPr>
      <w:rFonts w:ascii="Times New Roman" w:hAnsi="Times New Roman" w:eastAsia="宋体" w:cs="Times New Roman"/>
      <w:kern w:val="2"/>
      <w:sz w:val="21"/>
      <w:szCs w:val="22"/>
      <w:lang w:val="en-US" w:eastAsia="zh-CN" w:bidi="ar-SA"/>
    </w:rPr>
  </w:style>
  <w:style w:type="paragraph" w:styleId="8">
    <w:name w:val="Body Text Indent"/>
    <w:basedOn w:val="1"/>
    <w:next w:val="5"/>
    <w:qFormat/>
    <w:uiPriority w:val="0"/>
    <w:pPr>
      <w:spacing w:line="360" w:lineRule="auto"/>
      <w:ind w:firstLine="480"/>
    </w:pPr>
    <w:rPr>
      <w:rFonts w:ascii="Calibri" w:hAnsi="Calibri" w:eastAsia="宋体"/>
      <w:sz w:val="24"/>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pPr>
      <w:ind w:firstLine="0" w:firstLineChars="0"/>
    </w:pPr>
    <w:rPr>
      <w:rFonts w:ascii="宋体" w:hAnsi="宋体" w:eastAsia="仿宋_GB2312"/>
    </w:rPr>
  </w:style>
  <w:style w:type="paragraph" w:styleId="13">
    <w:name w:val="toc 2"/>
    <w:basedOn w:val="1"/>
    <w:next w:val="1"/>
    <w:qFormat/>
    <w:uiPriority w:val="0"/>
    <w:pPr>
      <w:ind w:left="420" w:leftChars="200" w:firstLine="0" w:firstLineChars="0"/>
    </w:pPr>
    <w:rPr>
      <w:rFonts w:ascii="宋体" w:hAnsi="宋体" w:eastAsia="仿宋"/>
    </w:rPr>
  </w:style>
  <w:style w:type="paragraph" w:styleId="14">
    <w:name w:val="Normal (Web)"/>
    <w:basedOn w:val="1"/>
    <w:qFormat/>
    <w:uiPriority w:val="0"/>
    <w:rPr>
      <w:sz w:val="24"/>
    </w:rPr>
  </w:style>
  <w:style w:type="paragraph" w:styleId="15">
    <w:name w:val="Body Text First Indent 2"/>
    <w:basedOn w:val="8"/>
    <w:next w:val="1"/>
    <w:qFormat/>
    <w:uiPriority w:val="0"/>
    <w:pPr>
      <w:spacing w:after="120" w:line="240" w:lineRule="auto"/>
      <w:ind w:left="420" w:leftChars="200" w:firstLine="420" w:firstLineChars="200"/>
    </w:pPr>
    <w:rPr>
      <w:sz w:val="21"/>
    </w:rPr>
  </w:style>
  <w:style w:type="paragraph" w:customStyle="1" w:styleId="18">
    <w:name w:val="BodyText"/>
    <w:basedOn w:val="1"/>
    <w:qFormat/>
    <w:uiPriority w:val="99"/>
    <w:pPr>
      <w:spacing w:after="120"/>
    </w:pPr>
    <w:rPr>
      <w:rFonts w:ascii="Calibri" w:hAnsi="Calibri" w:eastAsia="宋体" w:cs="Times New Roman"/>
    </w:rPr>
  </w:style>
  <w:style w:type="paragraph" w:customStyle="1" w:styleId="19">
    <w:name w:val="Table Text"/>
    <w:basedOn w:val="1"/>
    <w:semiHidden/>
    <w:qFormat/>
    <w:uiPriority w:val="0"/>
    <w:rPr>
      <w:rFonts w:ascii="微软雅黑" w:hAnsi="微软雅黑" w:eastAsia="微软雅黑" w:cs="微软雅黑"/>
      <w:sz w:val="19"/>
      <w:szCs w:val="19"/>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11"/>
    <w:basedOn w:val="17"/>
    <w:qFormat/>
    <w:uiPriority w:val="0"/>
    <w:rPr>
      <w:rFonts w:hint="eastAsia" w:ascii="仿宋_GB2312" w:eastAsia="仿宋_GB2312" w:cs="仿宋_GB2312"/>
      <w:color w:val="000000"/>
      <w:sz w:val="21"/>
      <w:szCs w:val="21"/>
      <w:u w:val="none"/>
    </w:rPr>
  </w:style>
  <w:style w:type="character" w:customStyle="1" w:styleId="22">
    <w:name w:val="font21"/>
    <w:basedOn w:val="17"/>
    <w:qFormat/>
    <w:uiPriority w:val="0"/>
    <w:rPr>
      <w:rFonts w:hint="default" w:ascii="Times New Roman" w:hAnsi="Times New Roman" w:cs="Times New Roman"/>
      <w:color w:val="000000"/>
      <w:sz w:val="21"/>
      <w:szCs w:val="21"/>
      <w:u w:val="none"/>
    </w:rPr>
  </w:style>
  <w:style w:type="character" w:customStyle="1" w:styleId="23">
    <w:name w:val="font31"/>
    <w:basedOn w:val="1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a2d590d4-0c71-4bfd-8134-43f655beb23a</errorID>
      <errorWord xmlns="http://schemas.wps.cn/vas-ai-hub/contract-review">河港业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河港</item>
      </candidateList>
      <explain xmlns="http://schemas.wps.cn/vas-ai-hub/contract-review"/>
      <paraID xmlns="http://schemas.wps.cn/vas-ai-hub/contract-review">354BF759</paraID>
      <start xmlns="http://schemas.wps.cn/vas-ai-hub/contract-review">461</start>
      <end xmlns="http://schemas.wps.cn/vas-ai-hub/contract-review">464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4086c3f7-de49-43c3-9e1f-a75c3493fd87</errorID>
      <errorWord xmlns="http://schemas.wps.cn/vas-ai-hub/contract-review">枫桥式公安派出所</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“枫桥式公安派出所”</item>
      </candidateList>
      <explain xmlns="http://schemas.wps.cn/vas-ai-hub/contract-review">注意检查当前固定表述标点是否使用规范。</explain>
      <paraID xmlns="http://schemas.wps.cn/vas-ai-hub/contract-review">270D51FD</paraID>
      <start xmlns="http://schemas.wps.cn/vas-ai-hub/contract-review">551</start>
      <end xmlns="http://schemas.wps.cn/vas-ai-hub/contract-review">559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f2e207e9-71a2-498c-bff3-4909c79badae</errorID>
      <errorWord xmlns="http://schemas.wps.cn/vas-ai-hub/contract-review">“双碳”战略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“双碳”目标</item>
      </candidateList>
      <explain xmlns="http://schemas.wps.cn/vas-ai-hub/contract-review"/>
      <paraID xmlns="http://schemas.wps.cn/vas-ai-hub/contract-review"> 3BA6731</paraID>
      <start xmlns="http://schemas.wps.cn/vas-ai-hub/contract-review">338</start>
      <end xmlns="http://schemas.wps.cn/vas-ai-hub/contract-review">344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c139142a-9d26-4c4b-8a2a-f2e4cc123c4e</errorID>
      <errorWord xmlns="http://schemas.wps.cn/vas-ai-hub/contract-review">两者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两河</item>
      </candidateList>
      <explain xmlns="http://schemas.wps.cn/vas-ai-hub/contract-review"/>
      <paraID xmlns="http://schemas.wps.cn/vas-ai-hub/contract-review">6D788D9D</paraID>
      <start xmlns="http://schemas.wps.cn/vas-ai-hub/contract-review">413</start>
      <end xmlns="http://schemas.wps.cn/vas-ai-hub/contract-review">415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fca4ea52-3ea9-494d-9a9a-89c04225bb58</errorID>
      <errorWord xmlns="http://schemas.wps.cn/vas-ai-hub/contract-review">金融活水</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金融“活水”</item>
      </candidateList>
      <explain xmlns="http://schemas.wps.cn/vas-ai-hub/contract-review">注意检查当前固定表述标点是否使用规范。</explain>
      <paraID xmlns="http://schemas.wps.cn/vas-ai-hub/contract-review">512C79C8</paraID>
      <start xmlns="http://schemas.wps.cn/vas-ai-hub/contract-review">194</start>
      <end xmlns="http://schemas.wps.cn/vas-ai-hub/contract-review">198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8aee5697-4dbc-4db7-87ae-3e68c139a0dc</errorID>
      <errorWord xmlns="http://schemas.wps.cn/vas-ai-hub/contract-review">改善型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改善性</item>
      </candidateList>
      <explain xmlns="http://schemas.wps.cn/vas-ai-hub/contract-review"/>
      <paraID xmlns="http://schemas.wps.cn/vas-ai-hub/contract-review">341E8960</paraID>
      <start xmlns="http://schemas.wps.cn/vas-ai-hub/contract-review">60</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3e44e384-d283-4f2e-9cc1-e25c42bb082d</errorID>
      <errorWord xmlns="http://schemas.wps.cn/vas-ai-hub/contract-review">河港业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河港</item>
      </candidateList>
      <explain xmlns="http://schemas.wps.cn/vas-ai-hub/contract-review"/>
      <paraID xmlns="http://schemas.wps.cn/vas-ai-hub/contract-review">76E9C682</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5ac5b580-9f47-40b3-a8f6-fc4026ee38c6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76E9C682</paraID>
      <start xmlns="http://schemas.wps.cn/vas-ai-hub/contract-review">162</start>
      <end xmlns="http://schemas.wps.cn/vas-ai-hub/contract-review">163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88df6190-a05f-4fd9-9efe-c5a220855b89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76E9C682</paraID>
      <start xmlns="http://schemas.wps.cn/vas-ai-hub/contract-review">165</start>
      <end xmlns="http://schemas.wps.cn/vas-ai-hub/contract-review">166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c4a9550b-308e-422b-90ee-e46e8e53fe5c</errorID>
      <errorWord xmlns="http://schemas.wps.cn/vas-ai-hub/contract-review">民营经济促进法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中华人民共和国民营经济促进法</item>
      </candidateList>
      <explain xmlns="http://schemas.wps.cn/vas-ai-hub/contract-review">当前法律法规名称使用简称，请注意是否应当使用全称。</explain>
      <paraID xmlns="http://schemas.wps.cn/vas-ai-hub/contract-review">78492AB9</paraID>
      <start xmlns="http://schemas.wps.cn/vas-ai-hub/contract-review">98</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6cf30030-c564-4608-a33d-581de0d64a32</errorID>
      <errorWord xmlns="http://schemas.wps.cn/vas-ai-hub/contract-review">榴光溢彩</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流光溢彩</item>
      </candidateList>
      <explain xmlns="http://schemas.wps.cn/vas-ai-hub/contract-review">形容光彩流动闪烁：华灯闪烁，～。</explain>
      <paraID xmlns="http://schemas.wps.cn/vas-ai-hub/contract-review">2AC5FA24</paraID>
      <start xmlns="http://schemas.wps.cn/vas-ai-hub/contract-review">266</start>
      <end xmlns="http://schemas.wps.cn/vas-ai-hub/contract-review">270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cc75cde6-5e13-408b-aa5e-f5b2baa34f6b</errorID>
      <errorWord xmlns="http://schemas.wps.cn/vas-ai-hub/contract-review">办好人民满意教育</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办好人民满意的教育</item>
      </candidateList>
      <explain xmlns="http://schemas.wps.cn/vas-ai-hub/contract-review">词汇“办好人民满意的教育”在特定场景下为固定表述形式，请确认此处的“办好人民满意教育”是否存在不当。</explain>
      <paraID xmlns="http://schemas.wps.cn/vas-ai-hub/contract-review">42BFC0E8</paraID>
      <start xmlns="http://schemas.wps.cn/vas-ai-hub/contract-review">5</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c9a70553-77b5-4a21-bde5-9cf0c57f0edb</errorID>
      <errorWord xmlns="http://schemas.wps.cn/vas-ai-hub/contract-review">国家区域医疗中心</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国家中医区域医疗中心</item>
      </candidateList>
      <explain xmlns="http://schemas.wps.cn/vas-ai-hub/contract-review">词汇“国家中医区域医疗中心”在特定场景下为固定表述形式，请确认此处的“国家区域医疗中心”是否存在不当。</explain>
      <paraID xmlns="http://schemas.wps.cn/vas-ai-hub/contract-review">614CA8A9</paraID>
      <start xmlns="http://schemas.wps.cn/vas-ai-hub/contract-review">24</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ff30061f-3978-432d-9b7e-ddb82b17e10e</errorID>
      <errorWord xmlns="http://schemas.wps.cn/vas-ai-hub/contract-review">聚焦经济主战场</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面向经济主战场</item>
      </candidateList>
      <explain xmlns="http://schemas.wps.cn/vas-ai-hub/contract-review">词汇“面向经济主战场”在特定场景下为固定表述形式，请确认此处的“聚焦经济主战场”是否存在不当。</explain>
      <paraID xmlns="http://schemas.wps.cn/vas-ai-hub/contract-review"> FC85D77</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9608c4b3-bdce-43be-a134-f434a88b54a7</errorID>
      <errorWord xmlns="http://schemas.wps.cn/vas-ai-hub/contract-review">安全生产治本攻坚行动</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安全生产治本攻坚三年行动</item>
      </candidateList>
      <explain xmlns="http://schemas.wps.cn/vas-ai-hub/contract-review">词汇“安全生产治本攻坚三年行动”在特定场景下为固定表述形式，请确认此处的“安全生产治本攻坚行动”是否存在不当。</explain>
      <paraID xmlns="http://schemas.wps.cn/vas-ai-hub/contract-review">4BB448A0</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d7c9aa-da0c-415e-91cb-9f102a69afe2}">
  <ds:schemaRefs/>
</ds:datastoreItem>
</file>

<file path=docProps/app.xml><?xml version="1.0" encoding="utf-8"?>
<Properties xmlns="http://schemas.openxmlformats.org/officeDocument/2006/extended-properties" xmlns:vt="http://schemas.openxmlformats.org/officeDocument/2006/docPropsVTypes">
  <Template>Normal.dotm</Template>
  <Pages>99</Pages>
  <Words>9225</Words>
  <Characters>9588</Characters>
  <Lines>1</Lines>
  <Paragraphs>1</Paragraphs>
  <TotalTime>1</TotalTime>
  <ScaleCrop>false</ScaleCrop>
  <LinksUpToDate>false</LinksUpToDate>
  <CharactersWithSpaces>9811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2025-10-14T15:38:00Z</dcterms:created>
  <dc:creator>admin</dc:creator>
  <cp:lastModifiedBy>残念の封</cp:lastModifiedBy>
  <cp:lastPrinted>2026-06-30T10:12:00Z</cp:lastPrinted>
  <dcterms:modified xsi:type="dcterms:W3CDTF">2026-07-29T07:16:11Z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eyJoZGlkIjoiNWQ2MGFkY2FiN2IxZmE2MzEwMmU0MzVlYTViZDk0MDYiLCJ1c2VySWQiOiI1OTYwODE2MTMifQ==</vt:lpwstr>
  </property>
  <property fmtid="{D5CDD505-2E9C-101B-9397-08002B2CF9AE}" pid="4" name="ICV">
    <vt:lpwstr>B7A1B6844C794242895E674C440E4984_13</vt:lpwstr>
  </property>
</Properties>
</file>